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28" w:name="_GoBack"/>
      <w:bookmarkStart w:id="0" w:name="_Toc18315"/>
      <w:bookmarkStart w:id="1" w:name="_Toc21984"/>
      <w:bookmarkStart w:id="2" w:name="_Toc28265"/>
      <w:bookmarkStart w:id="3" w:name="_Toc9452"/>
      <w:bookmarkStart w:id="4" w:name="_Toc22984"/>
      <w:bookmarkStart w:id="5" w:name="_Toc13050"/>
      <w:bookmarkStart w:id="6" w:name="_Toc3612"/>
      <w:bookmarkStart w:id="7" w:name="_Toc14716"/>
      <w:bookmarkStart w:id="8" w:name="_Toc25959"/>
      <w:bookmarkStart w:id="9" w:name="_Toc20953"/>
      <w:bookmarkStart w:id="10" w:name="_Toc10413"/>
      <w:bookmarkStart w:id="11" w:name="_Toc28350"/>
      <w:bookmarkStart w:id="12" w:name="_Toc32439"/>
      <w:bookmarkStart w:id="13" w:name="_Toc28209"/>
      <w:bookmarkStart w:id="14" w:name="_Toc9568"/>
      <w:bookmarkStart w:id="15" w:name="_Toc16484"/>
      <w:bookmarkStart w:id="16" w:name="_Toc24220"/>
      <w:bookmarkStart w:id="17" w:name="_Toc17199"/>
      <w:bookmarkStart w:id="18" w:name="_Toc8529"/>
      <w:bookmarkStart w:id="19" w:name="_Toc22476"/>
      <w:bookmarkStart w:id="20" w:name="_Toc15998804"/>
      <w:bookmarkStart w:id="21" w:name="_Toc18011"/>
      <w:bookmarkStart w:id="22" w:name="_Toc19148"/>
      <w:bookmarkStart w:id="23" w:name="_Toc13645"/>
      <w:bookmarkStart w:id="24" w:name="_Toc32582"/>
      <w:r>
        <w:t>高安</w:t>
      </w:r>
      <w:r>
        <w:rPr>
          <w:rFonts w:hint="eastAsia"/>
        </w:rPr>
        <w:t>农村产权交易中心可产生收益的农村集体资源性</w:t>
      </w:r>
      <w:bookmarkEnd w:id="0"/>
      <w:bookmarkEnd w:id="1"/>
      <w:bookmarkEnd w:id="2"/>
      <w:bookmarkStart w:id="25" w:name="_Toc12211"/>
      <w:bookmarkStart w:id="26" w:name="_Toc7672"/>
      <w:bookmarkStart w:id="27" w:name="_Toc10428"/>
      <w:r>
        <w:rPr>
          <w:rFonts w:hint="eastAsia"/>
        </w:rPr>
        <w:t>资产交易细则(试行）</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pPr>
        <w:rPr>
          <w:color w:val="000000"/>
        </w:rPr>
      </w:pPr>
    </w:p>
    <w:p>
      <w:pPr>
        <w:rPr>
          <w:color w:val="000000"/>
        </w:rPr>
      </w:pP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第一条 </w:t>
      </w:r>
      <w:r>
        <w:rPr>
          <w:rFonts w:hint="eastAsia" w:ascii="仿宋_GB2312" w:hAnsi="仿宋_GB2312" w:eastAsia="仿宋_GB2312" w:cs="仿宋_GB2312"/>
          <w:color w:val="000000"/>
          <w:sz w:val="32"/>
          <w:szCs w:val="32"/>
        </w:rPr>
        <w:t>为规范农村集体资源性资产交易行为，保护农村集体资源性资产所有者和经营者的合法权益，维护农村产权交易市场秩序，根据《中华人民共和国土地管理法》、《中华人民共和国农村土地承包法》、《中华人民共和国物权法》等相关法律法规和政策规定并依据《</w:t>
      </w:r>
      <w:r>
        <w:rPr>
          <w:rFonts w:hint="eastAsia" w:ascii="仿宋_GB2312" w:hAnsi="仿宋_GB2312" w:eastAsia="仿宋_GB2312" w:cs="仿宋_GB2312"/>
          <w:color w:val="000000"/>
          <w:sz w:val="32"/>
          <w:szCs w:val="32"/>
          <w:lang w:eastAsia="zh-CN"/>
        </w:rPr>
        <w:t>高安市农村集体资产交易管理办法</w:t>
      </w:r>
      <w:r>
        <w:rPr>
          <w:rFonts w:hint="eastAsia" w:ascii="仿宋_GB2312" w:hAnsi="仿宋_GB2312" w:eastAsia="仿宋_GB2312" w:cs="仿宋_GB2312"/>
          <w:color w:val="000000"/>
          <w:sz w:val="32"/>
          <w:szCs w:val="32"/>
        </w:rPr>
        <w:t xml:space="preserve"> (试行）》、《</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农村产权交易中心农村产权交易规则（试行)》,制定本细则。</w:t>
      </w:r>
    </w:p>
    <w:p>
      <w:pPr>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第二条 </w:t>
      </w:r>
      <w:r>
        <w:rPr>
          <w:rFonts w:hint="eastAsia" w:ascii="仿宋_GB2312" w:hAnsi="仿宋_GB2312" w:eastAsia="仿宋_GB2312" w:cs="仿宋_GB2312"/>
          <w:color w:val="000000"/>
          <w:sz w:val="32"/>
          <w:szCs w:val="32"/>
        </w:rPr>
        <w:t>在</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农村产权交易中心（（以下简称“农村产权交易中心”）进行的可产生收益的农村集体资源性资产流转交易活动，适用本规则。</w:t>
      </w:r>
    </w:p>
    <w:p>
      <w:pPr>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第三条 </w:t>
      </w:r>
      <w:r>
        <w:rPr>
          <w:rFonts w:hint="eastAsia" w:ascii="仿宋_GB2312" w:hAnsi="仿宋_GB2312" w:eastAsia="仿宋_GB2312" w:cs="仿宋_GB2312"/>
          <w:color w:val="000000"/>
          <w:sz w:val="32"/>
          <w:szCs w:val="32"/>
        </w:rPr>
        <w:t>农村集体资源性资产是指农村集体所有的“四荒地”（荒山、荒沟、荒丘、荒滩）、坑塘水面等资源性资产。</w:t>
      </w:r>
    </w:p>
    <w:p>
      <w:pPr>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第四条 </w:t>
      </w:r>
      <w:r>
        <w:rPr>
          <w:rFonts w:hint="eastAsia" w:ascii="仿宋_GB2312" w:hAnsi="仿宋_GB2312" w:eastAsia="仿宋_GB2312" w:cs="仿宋_GB2312"/>
          <w:color w:val="000000"/>
          <w:sz w:val="32"/>
          <w:szCs w:val="32"/>
        </w:rPr>
        <w:t>农村集体资源性资产流转交易应当遵循以下原则：</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(一）平等协商、自愿、有偿；</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(二）不得改变土地所有权的性质；</w:t>
      </w:r>
    </w:p>
    <w:p>
      <w:pPr>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第五条 </w:t>
      </w:r>
      <w:r>
        <w:rPr>
          <w:rFonts w:hint="eastAsia" w:ascii="仿宋_GB2312" w:hAnsi="仿宋_GB2312" w:eastAsia="仿宋_GB2312" w:cs="仿宋_GB2312"/>
          <w:color w:val="000000"/>
          <w:sz w:val="32"/>
          <w:szCs w:val="32"/>
        </w:rPr>
        <w:t>农村集体资源性资产交易是指通过招标、拍卖、公开协商等其他方式发包资源性资产使用权，或者通过招标、拍卖、公开协商等其他方式取得资源性资产使用权后的转让、出租、入股、抵押等方式流转交易及再流转的行为。</w:t>
      </w:r>
    </w:p>
    <w:p>
      <w:pPr>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第六条 </w:t>
      </w:r>
      <w:r>
        <w:rPr>
          <w:rFonts w:hint="eastAsia" w:ascii="仿宋_GB2312" w:hAnsi="仿宋_GB2312" w:eastAsia="仿宋_GB2312" w:cs="仿宋_GB2312"/>
          <w:color w:val="000000"/>
          <w:sz w:val="32"/>
          <w:szCs w:val="32"/>
        </w:rPr>
        <w:t>农村集体资源性资产交易范围包括：</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（一）农村集体经济组织以其他方式发包资源性资产使用权，要制定发包方案，发包方案须在本集体经济组织内公示，经本集体经济组织三分之二以上成员或者三分之二以上村民代表同意并报乡镇、市</w:t>
      </w:r>
      <w:r>
        <w:rPr>
          <w:rFonts w:ascii="仿宋_GB2312" w:hAnsi="仿宋_GB2312" w:eastAsia="仿宋_GB2312" w:cs="仿宋_GB2312"/>
          <w:color w:val="000000"/>
          <w:sz w:val="32"/>
          <w:szCs w:val="32"/>
        </w:rPr>
        <w:t>村运</w:t>
      </w:r>
      <w:r>
        <w:rPr>
          <w:rFonts w:hint="eastAsia" w:ascii="仿宋_GB2312" w:hAnsi="仿宋_GB2312" w:eastAsia="仿宋_GB2312" w:cs="仿宋_GB2312"/>
          <w:color w:val="000000"/>
          <w:sz w:val="32"/>
          <w:szCs w:val="32"/>
        </w:rPr>
        <w:t>管理部门批准后，采取招标、拍卖或公开协商等形式公开发包；</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（二）通过其他方式承包农村集体资源性资产且经依法登记取得农村土地承包经营权证的权利人，在承包期限之内采取转让、出租、入股、抵押等方式流转交易该资产使用权；</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（三）已流转农村集体资源性资产使用权的再流转。以转包、出租方式流转的资源性资产使用权实行再流转，须原承包方和发包方同意。</w:t>
      </w:r>
    </w:p>
    <w:p>
      <w:pPr>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第七条 </w:t>
      </w:r>
      <w:r>
        <w:rPr>
          <w:rFonts w:hint="eastAsia" w:ascii="仿宋_GB2312" w:hAnsi="仿宋_GB2312" w:eastAsia="仿宋_GB2312" w:cs="仿宋_GB2312"/>
          <w:color w:val="000000"/>
          <w:sz w:val="32"/>
          <w:szCs w:val="32"/>
        </w:rPr>
        <w:t>农村集体资源性资产流转交易可以采取下列方式进行：</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（一）协议出让；</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（二）拍卖；</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（三）招标；</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（四）国家法律、法规规定的其他方式。 </w:t>
      </w:r>
    </w:p>
    <w:p>
      <w:pPr>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第八条 </w:t>
      </w:r>
      <w:r>
        <w:rPr>
          <w:rFonts w:hint="eastAsia" w:ascii="仿宋_GB2312" w:hAnsi="仿宋_GB2312" w:eastAsia="仿宋_GB2312" w:cs="仿宋_GB2312"/>
          <w:color w:val="000000"/>
          <w:sz w:val="32"/>
          <w:szCs w:val="32"/>
        </w:rPr>
        <w:t xml:space="preserve">禁止流转交易的情形：                   </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一、权属不合法、不明晰或有争议的；</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二、未经发包方村民大会或村民代表大会同意流转交易的；</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三、其他限制流转交易的情形。</w:t>
      </w:r>
    </w:p>
    <w:p>
      <w:pPr>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第九条 </w:t>
      </w:r>
      <w:r>
        <w:rPr>
          <w:rFonts w:hint="eastAsia" w:ascii="仿宋_GB2312" w:hAnsi="仿宋_GB2312" w:eastAsia="仿宋_GB2312" w:cs="仿宋_GB2312"/>
          <w:color w:val="000000"/>
          <w:sz w:val="32"/>
          <w:szCs w:val="32"/>
        </w:rPr>
        <w:t>交易基本条件：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一、交易双方必须是具有完全民事权利能力和民事行为能 力的自然人、村集体经济组织、法人或其他组织，并具有真实意愿，且受让方为自然人时需年满18周岁以上、70周岁以下具有完全民事行为能力；</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二、权属明晰，权证合法有效；</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三、受让方应当具有相应的农业经营能力；</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四、流转交易项目符合国家的法律法规、环境保护、农业产业发展规划、土地利用总体规划和城乡一体化建设等政策规定。</w:t>
      </w: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第十条 </w:t>
      </w:r>
      <w:r>
        <w:rPr>
          <w:rFonts w:hint="eastAsia" w:ascii="仿宋_GB2312" w:hAnsi="仿宋_GB2312" w:eastAsia="仿宋_GB2312" w:cs="仿宋_GB2312"/>
          <w:color w:val="000000"/>
          <w:sz w:val="32"/>
          <w:szCs w:val="32"/>
        </w:rPr>
        <w:t>转出方可以直接或通过土流网江西省内各服务中心向农村产权交易中心提出书面申请，并提交下列材料：</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一、有效身份证明，转出方为自然人的，须提供身份证复印件或户口本复印件；转出方为法人或其他组织的，须提供营业执照、组织机构代码证、法定代表人身份证明及其他资格证明文件；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二、转让申请书； </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三、权属证明材料，包括农村土地承包经营权证、农村土地承包合同、农村土地承包经营权流转合同（再次流转时）等;</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四、批准发包的文件，包括民主决策档案材料、内部决议及相关批准和备案文件；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五、再次流转交易的转出方应当提供原转出方同意再次流转的证明和原流转交易的合同（或有效证明），并不得超过合同的剩余期限；</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六、标的情况说明；</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七、需要评估的，须提供评估报告；</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八、农村产权交易中心要求提交的其他材料。</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以上材料均须提交原件，提交复印件的需提交方加盖公章或签字。</w:t>
      </w: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第十一条 </w:t>
      </w:r>
      <w:r>
        <w:rPr>
          <w:rFonts w:hint="eastAsia" w:ascii="仿宋_GB2312" w:hAnsi="仿宋_GB2312" w:eastAsia="仿宋_GB2312" w:cs="仿宋_GB2312"/>
          <w:color w:val="000000"/>
          <w:sz w:val="32"/>
          <w:szCs w:val="32"/>
        </w:rPr>
        <w:t>农村集体资源性资产转出过程中，村集体经济组织内部成员有权行使优先权的，应当向农村产权交易中心提交证明材料，依照农村产权交易中心交易规则参与竞买。</w:t>
      </w:r>
    </w:p>
    <w:p>
      <w:pPr>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第十二条 </w:t>
      </w:r>
      <w:r>
        <w:rPr>
          <w:rFonts w:hint="eastAsia" w:ascii="仿宋_GB2312" w:hAnsi="仿宋_GB2312" w:eastAsia="仿宋_GB2312" w:cs="仿宋_GB2312"/>
          <w:color w:val="000000"/>
          <w:sz w:val="32"/>
          <w:szCs w:val="32"/>
        </w:rPr>
        <w:t>转出方将相关材料提交乡镇、市两级</w:t>
      </w:r>
      <w:r>
        <w:rPr>
          <w:rFonts w:ascii="仿宋_GB2312" w:hAnsi="仿宋_GB2312" w:eastAsia="仿宋_GB2312" w:cs="仿宋_GB2312"/>
          <w:color w:val="000000"/>
          <w:sz w:val="32"/>
          <w:szCs w:val="32"/>
        </w:rPr>
        <w:t>村运</w:t>
      </w:r>
      <w:r>
        <w:rPr>
          <w:rFonts w:hint="eastAsia" w:ascii="仿宋_GB2312" w:hAnsi="仿宋_GB2312" w:eastAsia="仿宋_GB2312" w:cs="仿宋_GB2312"/>
          <w:color w:val="000000"/>
          <w:sz w:val="32"/>
          <w:szCs w:val="32"/>
        </w:rPr>
        <w:t>管理部门进行审核，审核通过的，农村产权交易中心市级平台进行信息发布。</w:t>
      </w: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第十三条 </w:t>
      </w:r>
      <w:r>
        <w:rPr>
          <w:rFonts w:hint="eastAsia" w:ascii="仿宋_GB2312" w:hAnsi="仿宋_GB2312" w:eastAsia="仿宋_GB2312" w:cs="仿宋_GB2312"/>
          <w:color w:val="000000"/>
          <w:sz w:val="32"/>
          <w:szCs w:val="32"/>
        </w:rPr>
        <w:t>农村产权交易中心依据转出方提交的相关材料进行信息录入，并经审核通过在农村产权交易中心网站进行信息发布，挂牌时间不得少于10个工作日。</w:t>
      </w: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第十四条 </w:t>
      </w:r>
      <w:r>
        <w:rPr>
          <w:rFonts w:hint="eastAsia" w:ascii="仿宋_GB2312" w:hAnsi="仿宋_GB2312" w:eastAsia="仿宋_GB2312" w:cs="仿宋_GB2312"/>
          <w:color w:val="000000"/>
          <w:sz w:val="32"/>
          <w:szCs w:val="32"/>
        </w:rPr>
        <w:t>意向受让方应在交易项目信息发布期间直接或通过土流网江西省内各服务中心向农村产权交易中心提出书面申请，并提交以下材料：</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一、有效身份证明，意向受让方为自然人的，须提交身份证复印件或者户口本复印件；意向受让方为法人或其他组织的，须提供营业执照、组织机构代码证、法定代表人身份证明及其他资格证明文件；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二、意向受让方的资信证明；</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三、农村产权交易中心要求提交的其他材料。</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以上材料均须提交原件，提交复印件的需提交方加盖公章 或签字。</w:t>
      </w: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第十五条 </w:t>
      </w:r>
      <w:r>
        <w:rPr>
          <w:rFonts w:hint="eastAsia" w:ascii="仿宋_GB2312" w:hAnsi="仿宋_GB2312" w:eastAsia="仿宋_GB2312" w:cs="仿宋_GB2312"/>
          <w:color w:val="000000"/>
          <w:sz w:val="32"/>
          <w:szCs w:val="32"/>
        </w:rPr>
        <w:t>交易流程中的进场交易申请、登记和审核、信息发布与反馈、交易方式和交易保证金、交易款项结算、合同签订、出具产权交易鉴证、中止和终结、争议处理等环节执行农村产权交易中心发布的《</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农村产权交易中心农村产权交易规则（试行）》和对应的操作规则。</w:t>
      </w: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第十六条 </w:t>
      </w:r>
      <w:r>
        <w:rPr>
          <w:rFonts w:hint="eastAsia" w:ascii="仿宋_GB2312" w:hAnsi="仿宋_GB2312" w:eastAsia="仿宋_GB2312" w:cs="仿宋_GB2312"/>
          <w:color w:val="000000"/>
          <w:sz w:val="32"/>
          <w:szCs w:val="32"/>
        </w:rPr>
        <w:t>本细则的解释权和修订权归</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w:t>
      </w:r>
    </w:p>
    <w:p>
      <w:pPr>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第十七条 </w:t>
      </w:r>
      <w:r>
        <w:rPr>
          <w:rFonts w:hint="eastAsia" w:ascii="仿宋_GB2312" w:hAnsi="仿宋_GB2312" w:eastAsia="仿宋_GB2312" w:cs="仿宋_GB2312"/>
          <w:color w:val="000000"/>
          <w:sz w:val="32"/>
          <w:szCs w:val="32"/>
        </w:rPr>
        <w:t xml:space="preserve">本细则自发布之日起试行。 </w:t>
      </w: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772D1F33"/>
    <w:rsid w:val="772D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2022-06-21T03:15:00Z</dcterms:created>
  <dc:creator>COF</dc:creator>
  <cp:lastModifiedBy>COF</cp:lastModifiedBy>
  <dcterms:modified xsi:type="dcterms:W3CDTF">2022-06-21T03:15:59Z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3557A39E129F4E7285E9607D733D108D</vt:lpwstr>
  </property>
</Properties>
</file>