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编号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 xml:space="preserve">： </w:t>
      </w:r>
    </w:p>
    <w:p>
      <w:pPr>
        <w:pStyle w:val="3"/>
        <w:outlineLvl w:val="1"/>
        <w:rPr>
          <w:rFonts w:hint="eastAsia" w:ascii="宋体" w:hAnsi="宋体" w:eastAsia="宋体" w:cs="宋体"/>
          <w:bCs w:val="0"/>
          <w:color w:val="auto"/>
          <w:kern w:val="0"/>
          <w:sz w:val="44"/>
          <w:szCs w:val="44"/>
          <w:highlight w:val="none"/>
        </w:rPr>
      </w:pPr>
      <w:bookmarkStart w:id="0" w:name="_Toc5146"/>
      <w:bookmarkStart w:id="1" w:name="_Toc16738"/>
      <w:bookmarkStart w:id="2" w:name="_Toc32363"/>
      <w:bookmarkStart w:id="3" w:name="_Toc26632"/>
      <w:bookmarkStart w:id="4" w:name="_Toc12953"/>
      <w:bookmarkStart w:id="5" w:name="_Toc172"/>
      <w:bookmarkStart w:id="6" w:name="_Toc32348"/>
      <w:bookmarkStart w:id="7" w:name="_Toc1585"/>
      <w:bookmarkStart w:id="8" w:name="_Toc19561"/>
      <w:bookmarkStart w:id="9" w:name="_Toc27888"/>
      <w:bookmarkStart w:id="10" w:name="_Toc27699"/>
      <w:bookmarkStart w:id="11" w:name="_Toc25040"/>
      <w:bookmarkStart w:id="12" w:name="_Toc28811"/>
      <w:r>
        <w:rPr>
          <w:rFonts w:hint="eastAsia" w:ascii="宋体" w:hAnsi="宋体" w:eastAsia="宋体" w:cs="宋体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万宁市</w:t>
      </w:r>
      <w:r>
        <w:rPr>
          <w:rFonts w:hint="eastAsia" w:ascii="宋体" w:hAnsi="宋体" w:eastAsia="宋体" w:cs="宋体"/>
          <w:bCs w:val="0"/>
          <w:color w:val="auto"/>
          <w:kern w:val="0"/>
          <w:sz w:val="44"/>
          <w:szCs w:val="44"/>
          <w:highlight w:val="none"/>
        </w:rPr>
        <w:t>农村集体经营性资产</w:t>
      </w:r>
    </w:p>
    <w:p>
      <w:pPr>
        <w:pStyle w:val="3"/>
        <w:outlineLvl w:val="1"/>
        <w:rPr>
          <w:rFonts w:hint="eastAsia" w:ascii="宋体" w:hAnsi="宋体" w:eastAsia="宋体" w:cs="宋体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44"/>
          <w:szCs w:val="44"/>
          <w:highlight w:val="none"/>
        </w:rPr>
        <w:t>转出申请书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hd w:val="clear" w:color="auto" w:fill="auto"/>
        <w:jc w:val="center"/>
        <w:rPr>
          <w:rFonts w:ascii="宋体"/>
          <w:b/>
          <w:bCs/>
          <w:color w:val="auto"/>
          <w:sz w:val="28"/>
          <w:szCs w:val="28"/>
          <w:highlight w:val="none"/>
        </w:rPr>
      </w:pPr>
    </w:p>
    <w:p>
      <w:pPr>
        <w:shd w:val="clear" w:color="auto" w:fill="auto"/>
        <w:jc w:val="center"/>
        <w:rPr>
          <w:rFonts w:ascii="宋体"/>
          <w:color w:val="auto"/>
          <w:sz w:val="28"/>
          <w:highlight w:val="none"/>
        </w:rPr>
      </w:pPr>
    </w:p>
    <w:p>
      <w:pPr>
        <w:shd w:val="clear" w:color="auto" w:fill="auto"/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32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  <w:lang w:val="en-US" w:eastAsia="zh-CN"/>
        </w:rPr>
        <w:t xml:space="preserve">   </w:t>
      </w:r>
    </w:p>
    <w:p>
      <w:pPr>
        <w:shd w:val="clear" w:color="auto" w:fill="auto"/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</w:pPr>
    </w:p>
    <w:p>
      <w:pPr>
        <w:jc w:val="left"/>
        <w:outlineLvl w:val="9"/>
        <w:rPr>
          <w:rFonts w:hint="default" w:ascii="宋体" w:hAnsi="宋体" w:eastAsia="宋体" w:cs="宋体"/>
          <w:b w:val="0"/>
          <w:bCs w:val="0"/>
          <w:color w:val="auto"/>
          <w:sz w:val="36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24"/>
          <w:highlight w:val="none"/>
          <w:lang w:val="en-US" w:eastAsia="zh-CN"/>
        </w:rPr>
        <w:t>标的名称：</w:t>
      </w:r>
      <w:r>
        <w:rPr>
          <w:rFonts w:ascii="Times New Roman" w:hAnsi="Times New Roman" w:eastAsia="黑体"/>
          <w:bCs/>
          <w:color w:val="auto"/>
          <w:sz w:val="28"/>
          <w:highlight w:val="none"/>
          <w:u w:val="single"/>
        </w:rPr>
        <w:t xml:space="preserve">                                       </w:t>
      </w:r>
      <w:r>
        <w:rPr>
          <w:rFonts w:hint="eastAsia" w:ascii="Times New Roman" w:hAnsi="Times New Roman" w:eastAsia="黑体"/>
          <w:bCs/>
          <w:color w:val="auto"/>
          <w:sz w:val="28"/>
          <w:highlight w:val="none"/>
          <w:u w:val="single"/>
          <w:lang w:val="en-US" w:eastAsia="zh-CN"/>
        </w:rPr>
        <w:t xml:space="preserve">   </w:t>
      </w:r>
    </w:p>
    <w:p>
      <w:pPr>
        <w:shd w:val="clear" w:color="auto" w:fill="auto"/>
        <w:adjustRightInd w:val="0"/>
        <w:snapToGrid w:val="0"/>
        <w:jc w:val="center"/>
        <w:rPr>
          <w:rFonts w:ascii="宋体" w:hAnsi="宋体"/>
          <w:color w:val="auto"/>
          <w:sz w:val="28"/>
          <w:highlight w:val="none"/>
        </w:rPr>
      </w:pPr>
    </w:p>
    <w:p>
      <w:pPr>
        <w:shd w:val="clear" w:color="auto" w:fill="auto"/>
        <w:rPr>
          <w:rFonts w:ascii="宋体"/>
          <w:color w:val="auto"/>
          <w:sz w:val="28"/>
          <w:highlight w:val="none"/>
        </w:rPr>
      </w:pPr>
    </w:p>
    <w:tbl>
      <w:tblPr>
        <w:tblStyle w:val="7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ascii="宋体"/>
                <w:b/>
                <w:bCs/>
                <w:color w:val="auto"/>
                <w:sz w:val="36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 w:val="36"/>
                <w:highlight w:val="none"/>
              </w:rPr>
              <w:t>敬</w:t>
            </w:r>
            <w:r>
              <w:rPr>
                <w:rFonts w:ascii="宋体"/>
                <w:b/>
                <w:bCs/>
                <w:color w:val="auto"/>
                <w:sz w:val="36"/>
                <w:highlight w:val="none"/>
              </w:rPr>
              <w:t xml:space="preserve">  </w:t>
            </w:r>
            <w:r>
              <w:rPr>
                <w:rFonts w:hint="eastAsia" w:ascii="宋体"/>
                <w:b/>
                <w:bCs/>
                <w:color w:val="auto"/>
                <w:sz w:val="36"/>
                <w:highlight w:val="none"/>
              </w:rPr>
              <w:t>告</w:t>
            </w:r>
          </w:p>
          <w:p>
            <w:pPr>
              <w:numPr>
                <w:ilvl w:val="0"/>
                <w:numId w:val="1"/>
              </w:numPr>
              <w:shd w:val="clear" w:color="auto" w:fill="auto"/>
              <w:spacing w:line="360" w:lineRule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申请人在填表前，应认真阅读并理解《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陵水农村产权交易中心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农村产权交易规则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试行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》及相关规定。</w:t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2.申请书各项内容务请如实、准确填写。</w:t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3.填写时请使用蓝黑或黑色墨水，字迹工整，不得涂改。</w:t>
            </w:r>
          </w:p>
          <w:p>
            <w:pPr>
              <w:shd w:val="clear" w:color="auto" w:fill="auto"/>
              <w:spacing w:line="360" w:lineRule="auto"/>
              <w:rPr>
                <w:rFonts w:ascii="宋体"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4.本申请书请转出方加盖骑缝章。</w:t>
            </w:r>
          </w:p>
        </w:tc>
      </w:tr>
    </w:tbl>
    <w:p>
      <w:pPr>
        <w:shd w:val="clear" w:color="auto" w:fill="auto"/>
        <w:jc w:val="both"/>
        <w:rPr>
          <w:rFonts w:ascii="宋体"/>
          <w:color w:val="auto"/>
          <w:sz w:val="28"/>
          <w:highlight w:val="none"/>
        </w:rPr>
      </w:pPr>
    </w:p>
    <w:p>
      <w:pPr>
        <w:shd w:val="clear" w:color="auto" w:fill="auto"/>
        <w:jc w:val="center"/>
        <w:rPr>
          <w:rFonts w:ascii="宋体" w:hAnsi="宋体"/>
          <w:color w:val="auto"/>
          <w:sz w:val="28"/>
          <w:highlight w:val="none"/>
        </w:rPr>
      </w:pPr>
    </w:p>
    <w:p>
      <w:pPr>
        <w:shd w:val="clear" w:color="auto" w:fill="auto"/>
        <w:tabs>
          <w:tab w:val="left" w:pos="5250"/>
        </w:tabs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  <w:lang w:val="en-US" w:eastAsia="zh-CN"/>
        </w:rPr>
        <w:t>万宁市农村产权交易中心</w:t>
      </w:r>
      <w:r>
        <w:rPr>
          <w:rFonts w:ascii="宋体" w:hAnsi="宋体"/>
          <w:b/>
          <w:bCs/>
          <w:color w:val="auto"/>
          <w:sz w:val="32"/>
          <w:highlight w:val="none"/>
        </w:rPr>
        <w:t>制</w:t>
      </w:r>
    </w:p>
    <w:p>
      <w:pPr>
        <w:shd w:val="clear" w:color="auto" w:fill="auto"/>
        <w:tabs>
          <w:tab w:val="left" w:pos="5250"/>
        </w:tabs>
        <w:jc w:val="center"/>
        <w:rPr>
          <w:rFonts w:hint="eastAsia" w:ascii="宋体" w:hAnsi="宋体"/>
          <w:b/>
          <w:bCs/>
          <w:color w:val="auto"/>
          <w:sz w:val="32"/>
          <w:highlight w:val="none"/>
          <w:lang w:val="en-US" w:eastAsia="zh-CN"/>
        </w:rPr>
      </w:pPr>
    </w:p>
    <w:p>
      <w:pPr>
        <w:shd w:val="clear" w:color="auto" w:fill="auto"/>
        <w:tabs>
          <w:tab w:val="left" w:pos="5250"/>
        </w:tabs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  <w:lang w:val="en-US" w:eastAsia="zh-CN"/>
        </w:rPr>
        <w:t>2024</w:t>
      </w:r>
      <w:r>
        <w:rPr>
          <w:rFonts w:ascii="宋体" w:hAnsi="宋体"/>
          <w:b/>
          <w:bCs/>
          <w:color w:val="auto"/>
          <w:sz w:val="32"/>
          <w:highlight w:val="none"/>
        </w:rPr>
        <w:t xml:space="preserve"> 年   月</w:t>
      </w:r>
    </w:p>
    <w:p>
      <w:pPr>
        <w:shd w:val="clear" w:color="auto" w:fill="auto"/>
        <w:tabs>
          <w:tab w:val="left" w:pos="5250"/>
        </w:tabs>
        <w:jc w:val="center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34"/>
          <w:szCs w:val="34"/>
          <w:highlight w:val="none"/>
        </w:rPr>
      </w:pPr>
      <w:bookmarkStart w:id="13" w:name="_Toc24296"/>
      <w:bookmarkStart w:id="14" w:name="_Toc21625"/>
      <w:bookmarkStart w:id="15" w:name="_Toc20638"/>
      <w:bookmarkStart w:id="16" w:name="_Toc9636"/>
      <w:r>
        <w:rPr>
          <w:rFonts w:hint="eastAsia" w:ascii="宋体" w:hAnsi="宋体" w:cs="宋体"/>
          <w:b/>
          <w:bCs w:val="0"/>
          <w:color w:val="auto"/>
          <w:kern w:val="0"/>
          <w:sz w:val="34"/>
          <w:szCs w:val="34"/>
          <w:highlight w:val="none"/>
          <w:lang w:val="en-US" w:eastAsia="zh-CN"/>
        </w:rPr>
        <w:t>万宁市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4"/>
          <w:szCs w:val="34"/>
          <w:highlight w:val="none"/>
        </w:rPr>
        <w:t>农村集体经营性资产</w:t>
      </w:r>
    </w:p>
    <w:p>
      <w:pPr>
        <w:shd w:val="clear" w:color="auto" w:fill="auto"/>
        <w:tabs>
          <w:tab w:val="left" w:pos="5250"/>
        </w:tabs>
        <w:jc w:val="center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4"/>
          <w:szCs w:val="34"/>
          <w:highlight w:val="none"/>
        </w:rPr>
        <w:t>转出申请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4"/>
          <w:szCs w:val="34"/>
          <w:highlight w:val="none"/>
          <w:lang w:val="en-US" w:eastAsia="zh-CN"/>
        </w:rPr>
        <w:t>承诺书</w:t>
      </w:r>
      <w:bookmarkEnd w:id="13"/>
      <w:bookmarkEnd w:id="14"/>
      <w:bookmarkEnd w:id="15"/>
      <w:bookmarkEnd w:id="16"/>
    </w:p>
    <w:p>
      <w:pPr>
        <w:shd w:val="clear" w:color="auto" w:fill="auto"/>
        <w:spacing w:line="360" w:lineRule="auto"/>
        <w:jc w:val="both"/>
        <w:outlineLvl w:val="9"/>
        <w:rPr>
          <w:rFonts w:hint="eastAsia" w:ascii="宋体" w:hAnsi="宋体" w:eastAsia="宋体" w:cs="宋体"/>
          <w:bCs/>
          <w:color w:val="auto"/>
          <w:sz w:val="32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万宁市农村产权交易中心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</w:p>
    <w:p>
      <w:pPr>
        <w:shd w:val="clear" w:color="auto" w:fill="auto"/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本转出方现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向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万宁市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农村产权交易中心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提出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所持有标的流转申请</w:t>
      </w:r>
      <w:r>
        <w:rPr>
          <w:rFonts w:hint="eastAsia" w:ascii="宋体" w:hAnsi="宋体" w:cs="宋体"/>
          <w:color w:val="auto"/>
          <w:sz w:val="24"/>
          <w:highlight w:val="none"/>
        </w:rPr>
        <w:t>，请将本转出方持有的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（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委托转出标的名称</w:t>
      </w:r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通过贵中心挂牌转出，并请贵中心在相关网站及媒体公开发布转出公告信息。对此申请要求，本转出方依照公开、公平、公正、诚信的原则，特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作</w:t>
      </w:r>
      <w:r>
        <w:rPr>
          <w:rFonts w:hint="eastAsia" w:ascii="宋体" w:hAnsi="宋体" w:cs="宋体"/>
          <w:color w:val="auto"/>
          <w:sz w:val="24"/>
          <w:highlight w:val="none"/>
        </w:rPr>
        <w:t>如下承诺：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1、本次产权转出是我方真实意愿表示，转出的产权权属清晰，我方对该产权拥有完全的处置权且实施不存在任何限制条件；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2、我方转出产权的相关行为已履行了相应程序，经过有效的内部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决议（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包含家庭内部决定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，并获得相应批准；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3、本转出方对中心填写的内容及提交的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中心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材料（包括原件、复印件）的真实性、合法性、有效性、完整性承担责任，并同意贵中心按上述材料内容发布流转信息；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4、我方在转出过程中，遵守国家法律法规和产权交易相关规定规则，按照有关交易程序要求履行我方义务；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5、已知悉贵中心的交易规则，并充分理解和认可，同意按照贵中心《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陵水农村产权交易中心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农村产权交易规则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试行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》等相关规定实施农村产权流转活动；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6、已知悉并认可贵中心的收费项目及标准，同意按规定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缴纳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相关费用；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7、在农交中心规定的挂牌期间，除不可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抗力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、国家法律法规及政策调整外，不得撤牌；</w:t>
      </w:r>
    </w:p>
    <w:p>
      <w:pPr>
        <w:shd w:val="clear" w:color="auto" w:fill="auto"/>
        <w:spacing w:line="360" w:lineRule="auto"/>
        <w:ind w:firstLine="482" w:firstLineChars="200"/>
        <w:outlineLvl w:val="9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8、在委托贵中心公开挂牌流转期间不通过其他渠道进行交易；</w:t>
      </w:r>
    </w:p>
    <w:p>
      <w:pPr>
        <w:shd w:val="clear" w:color="auto" w:fill="auto"/>
        <w:spacing w:line="360" w:lineRule="auto"/>
        <w:ind w:firstLine="48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9、我方保证遵守以上承诺，如违反上述承诺或有违规违法行为，给交易相关方造成一切损失，我方愿意承担相应的法律责任及经济赔偿责任。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申 请 单 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3"/>
        <w:outlineLvl w:val="1"/>
        <w:rPr>
          <w:rFonts w:hint="eastAsia" w:ascii="宋体" w:hAnsi="宋体" w:eastAsia="宋体" w:cs="宋体"/>
          <w:bCs w:val="0"/>
          <w:color w:val="auto"/>
          <w:kern w:val="0"/>
          <w:sz w:val="34"/>
          <w:szCs w:val="34"/>
          <w:highlight w:val="none"/>
        </w:rPr>
      </w:pPr>
      <w:bookmarkStart w:id="17" w:name="_Toc29976"/>
      <w:bookmarkStart w:id="18" w:name="_Toc14586"/>
      <w:bookmarkStart w:id="19" w:name="_Toc12209"/>
      <w:bookmarkStart w:id="20" w:name="_Toc19255"/>
      <w:bookmarkStart w:id="21" w:name="_Toc21769"/>
      <w:bookmarkStart w:id="22" w:name="_Toc27589"/>
      <w:r>
        <w:rPr>
          <w:rFonts w:hint="eastAsia" w:ascii="宋体" w:hAnsi="宋体" w:eastAsia="宋体" w:cs="宋体"/>
          <w:bCs w:val="0"/>
          <w:color w:val="auto"/>
          <w:kern w:val="0"/>
          <w:sz w:val="34"/>
          <w:szCs w:val="34"/>
          <w:highlight w:val="none"/>
          <w:lang w:val="en-US" w:eastAsia="zh-CN"/>
        </w:rPr>
        <w:t>万宁市</w:t>
      </w:r>
      <w:r>
        <w:rPr>
          <w:rFonts w:hint="eastAsia" w:ascii="宋体" w:hAnsi="宋体" w:eastAsia="宋体" w:cs="宋体"/>
          <w:bCs w:val="0"/>
          <w:color w:val="auto"/>
          <w:kern w:val="0"/>
          <w:sz w:val="34"/>
          <w:szCs w:val="34"/>
          <w:highlight w:val="none"/>
        </w:rPr>
        <w:t>农村集体经营性资产转出申请登记表</w:t>
      </w:r>
      <w:bookmarkEnd w:id="17"/>
      <w:bookmarkEnd w:id="18"/>
      <w:bookmarkEnd w:id="19"/>
      <w:bookmarkEnd w:id="20"/>
      <w:bookmarkEnd w:id="21"/>
      <w:bookmarkEnd w:id="22"/>
    </w:p>
    <w:tbl>
      <w:tblPr>
        <w:tblStyle w:val="7"/>
        <w:tblW w:w="8604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985"/>
        <w:gridCol w:w="756"/>
        <w:gridCol w:w="123"/>
        <w:gridCol w:w="691"/>
        <w:gridCol w:w="52"/>
        <w:gridCol w:w="827"/>
        <w:gridCol w:w="424"/>
        <w:gridCol w:w="133"/>
        <w:gridCol w:w="888"/>
        <w:gridCol w:w="107"/>
        <w:gridCol w:w="551"/>
        <w:gridCol w:w="673"/>
        <w:gridCol w:w="62"/>
        <w:gridCol w:w="583"/>
        <w:gridCol w:w="230"/>
        <w:gridCol w:w="619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68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转出方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0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718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before="93" w:beforeLines="30" w:line="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村集体经济组织社会信用代码</w:t>
            </w:r>
          </w:p>
        </w:tc>
        <w:tc>
          <w:tcPr>
            <w:tcW w:w="60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538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60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554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706" w:hRule="atLeast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法定代表人</w:t>
            </w:r>
          </w:p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60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724" w:hRule="exact"/>
        </w:trPr>
        <w:tc>
          <w:tcPr>
            <w:tcW w:w="985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申请方类型</w:t>
            </w: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村集体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□海南农垦企业  □非海南农垦企业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744" w:hRule="exact"/>
        </w:trPr>
        <w:tc>
          <w:tcPr>
            <w:tcW w:w="985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52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面积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164" w:hRule="exact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标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的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基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本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情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转出标的</w:t>
            </w:r>
          </w:p>
        </w:tc>
        <w:tc>
          <w:tcPr>
            <w:tcW w:w="5979" w:type="dxa"/>
            <w:gridSpan w:val="1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□房屋  □建筑物  □机器设备 □工具器具  □农业生产设施设备  □集体企业  □苗  □木  □股权  □种畜禽  □交通运输工具  □商铺  □小型水利设施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8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转让方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式</w:t>
            </w:r>
          </w:p>
        </w:tc>
        <w:tc>
          <w:tcPr>
            <w:tcW w:w="5979" w:type="dxa"/>
            <w:gridSpan w:val="1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□转让   □出租   □入股  □合作  □其他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出让期限</w:t>
            </w:r>
          </w:p>
        </w:tc>
        <w:tc>
          <w:tcPr>
            <w:tcW w:w="5979" w:type="dxa"/>
            <w:gridSpan w:val="1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年   月   日至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是否存在他项权利人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□是 □否</w:t>
            </w:r>
          </w:p>
        </w:tc>
        <w:tc>
          <w:tcPr>
            <w:tcW w:w="2206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他项权利人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3894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他项权利内容（如存在）</w:t>
            </w:r>
          </w:p>
        </w:tc>
        <w:tc>
          <w:tcPr>
            <w:tcW w:w="3707" w:type="dxa"/>
            <w:gridSpan w:val="8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□抵押 □质押 □其他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8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3894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相关权利人是否放弃行使优先权</w:t>
            </w:r>
          </w:p>
        </w:tc>
        <w:tc>
          <w:tcPr>
            <w:tcW w:w="3707" w:type="dxa"/>
            <w:gridSpan w:val="8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以下为房屋选填部分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6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房屋类型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房屋间数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坐落位置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房产证号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建筑面积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目前用途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附属设施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10"/>
              <w:shd w:val="clear" w:color="auto" w:fill="auto"/>
              <w:ind w:firstLine="42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使用年限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pStyle w:val="10"/>
              <w:shd w:val="clear" w:color="auto" w:fill="auto"/>
              <w:ind w:firstLine="42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已用年限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pStyle w:val="10"/>
              <w:shd w:val="clear" w:color="auto" w:fill="auto"/>
              <w:ind w:firstLine="42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71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周边环境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71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66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82" w:hRule="exact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标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的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基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本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情</w:t>
            </w:r>
          </w:p>
          <w:p>
            <w:pPr>
              <w:pStyle w:val="9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况</w:t>
            </w: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以下为农机具选填部分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02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名  称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计量单位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22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生产厂家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62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规格型号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数  量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062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备  注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以下为苗木选填部分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籽种种类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□苗   □树木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品种名称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审定编号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适宜区域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358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品种介绍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以下为资产处置选填部分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7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资产名称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生产厂家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3655" w:type="dxa"/>
            <w:gridSpan w:val="8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数  量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888" w:hRule="atLeas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简要介绍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601" w:type="dxa"/>
            <w:gridSpan w:val="16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pStyle w:val="5"/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pStyle w:val="5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型  号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数  量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65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备  注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pStyle w:val="9"/>
              <w:shd w:val="clear" w:color="auto" w:fill="auto"/>
              <w:spacing w:before="0" w:after="0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809" w:hRule="exact"/>
        </w:trPr>
        <w:tc>
          <w:tcPr>
            <w:tcW w:w="25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现场勘查联系方式</w:t>
            </w:r>
          </w:p>
        </w:tc>
        <w:tc>
          <w:tcPr>
            <w:tcW w:w="2431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是否属于再次流转</w:t>
            </w: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是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809" w:hRule="exact"/>
        </w:trPr>
        <w:tc>
          <w:tcPr>
            <w:tcW w:w="2555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转出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>出租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>入股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 xml:space="preserve">转让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 xml:space="preserve">互换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 xml:space="preserve">转包 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  <w:t>资产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  <w:t>评估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10"/>
                <w:sz w:val="24"/>
                <w:highlight w:val="none"/>
              </w:rPr>
              <w:t>情况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评估机构</w:t>
            </w:r>
          </w:p>
        </w:tc>
        <w:tc>
          <w:tcPr>
            <w:tcW w:w="3717" w:type="dxa"/>
            <w:gridSpan w:val="9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31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□会员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评估基准日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29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账面价值</w:t>
            </w:r>
          </w:p>
        </w:tc>
        <w:tc>
          <w:tcPr>
            <w:tcW w:w="6031" w:type="dxa"/>
            <w:gridSpan w:val="13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97" w:hRule="exact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资产评估值</w:t>
            </w:r>
          </w:p>
        </w:tc>
        <w:tc>
          <w:tcPr>
            <w:tcW w:w="6031" w:type="dxa"/>
            <w:gridSpan w:val="13"/>
            <w:tcBorders>
              <w:bottom w:val="nil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highlight w:val="none"/>
              </w:rPr>
              <w:t>交易</w:t>
            </w:r>
          </w:p>
          <w:p>
            <w:pPr>
              <w:pStyle w:val="9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2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挂牌价格</w:t>
            </w:r>
          </w:p>
        </w:tc>
        <w:tc>
          <w:tcPr>
            <w:tcW w:w="459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7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交易价款付款方式</w:t>
            </w:r>
          </w:p>
        </w:tc>
        <w:tc>
          <w:tcPr>
            <w:tcW w:w="45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□一次性支付，全部交易价款进场结算。</w:t>
            </w:r>
          </w:p>
          <w:p>
            <w:pPr>
              <w:pStyle w:val="10"/>
              <w:shd w:val="clear" w:color="auto" w:fill="auto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□按年支付，一年一付</w:t>
            </w:r>
          </w:p>
          <w:p>
            <w:pPr>
              <w:pStyle w:val="10"/>
              <w:shd w:val="clear" w:color="auto" w:fill="auto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szCs w:val="24"/>
                <w:highlight w:val="none"/>
              </w:rPr>
              <w:t>分期付款，分期付款方式：</w:t>
            </w:r>
          </w:p>
          <w:p>
            <w:pPr>
              <w:pStyle w:val="4"/>
              <w:shd w:val="clear" w:color="auto" w:fill="auto"/>
              <w:spacing w:line="360" w:lineRule="auto"/>
              <w:ind w:left="960" w:hanging="96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□其他支付方式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759" w:type="dxa"/>
            <w:gridSpan w:val="3"/>
            <w:vMerge w:val="continue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与转让相关的其他条件</w:t>
            </w:r>
          </w:p>
        </w:tc>
        <w:tc>
          <w:tcPr>
            <w:tcW w:w="4595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shd w:val="clear" w:color="auto" w:fill="auto"/>
              <w:ind w:firstLine="42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759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受让方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条件</w:t>
            </w:r>
          </w:p>
        </w:tc>
        <w:tc>
          <w:tcPr>
            <w:tcW w:w="6845" w:type="dxa"/>
            <w:gridSpan w:val="15"/>
            <w:noWrap w:val="0"/>
            <w:vAlign w:val="top"/>
          </w:tcPr>
          <w:p>
            <w:pPr>
              <w:pStyle w:val="6"/>
              <w:shd w:val="clear" w:color="auto" w:fill="auto"/>
              <w:ind w:left="0" w:leftChars="0" w:firstLine="0" w:firstLineChars="0"/>
              <w:rPr>
                <w:rFonts w:hint="eastAsia" w:ascii="宋体" w:hAnsi="宋体" w:cs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highlight w:val="none"/>
                <w:lang w:val="en-US" w:eastAsia="zh-CN"/>
              </w:rPr>
              <w:t>例：如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highlight w:val="none"/>
                <w:lang w:val="en-US" w:eastAsia="zh-CN"/>
              </w:rPr>
              <w:t>受让方具有完全民事权利能力和民事行为能力的自然人、法人或其他组织。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流转期限届满后，受让方享有以同等条件优先续约的权利。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6"/>
              <w:shd w:val="clear" w:color="auto" w:fill="auto"/>
              <w:ind w:left="2250" w:hanging="1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pStyle w:val="6"/>
              <w:shd w:val="clear" w:color="auto" w:fill="auto"/>
              <w:ind w:left="2250" w:hanging="1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18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重要批示</w:t>
            </w: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shd w:val="clear" w:color="auto" w:fill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highlight w:val="none"/>
                <w:lang w:val="en-US" w:eastAsia="zh-CN"/>
              </w:rPr>
              <w:t>例：如需公示资产重要信息或其他需要公示的内容。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18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其他需要披露的内容</w:t>
            </w: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82" w:type="dxa"/>
            <w:gridSpan w:val="4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保证金设定</w:t>
            </w:r>
          </w:p>
        </w:tc>
        <w:tc>
          <w:tcPr>
            <w:tcW w:w="6722" w:type="dxa"/>
            <w:gridSpan w:val="14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交易保证金：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 （至少大于首次支付流转费用的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交纳形式</w:t>
            </w: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□现金汇款  □支票 □汇票 □电汇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2" w:type="dxa"/>
            <w:gridSpan w:val="4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挂牌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信息</w:t>
            </w: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挂牌公告期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（至少5个工作日）</w:t>
            </w: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自公告之日起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挂牌期满后，如未征集到满足摘牌条件的意向受让方</w:t>
            </w: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信息发布终结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□延长信息发布，不变更信息发布条件，按照3 个工作日为一个周期延长，直至征集到意向受让方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□变更公告内容，重新挂牌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交易方式</w:t>
            </w: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挂牌期满，如征集到两个及以上符合条件的意向受让方，选择以下交易方式确定受让方：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□网络竞价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□阶梯竞价&lt;竞价阶梯     元 &gt;、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自由竞价     </w:t>
            </w:r>
          </w:p>
          <w:p>
            <w:pPr>
              <w:pStyle w:val="10"/>
              <w:shd w:val="clear" w:color="auto" w:fill="auto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82" w:type="dxa"/>
            <w:gridSpan w:val="4"/>
            <w:vMerge w:val="restart"/>
            <w:noWrap w:val="0"/>
            <w:vAlign w:val="center"/>
          </w:tcPr>
          <w:p>
            <w:pPr>
              <w:shd w:val="clear" w:color="auto" w:fill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价款</w:t>
            </w:r>
          </w:p>
          <w:p>
            <w:pPr>
              <w:shd w:val="clear" w:color="auto" w:fill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划入</w:t>
            </w:r>
          </w:p>
          <w:p>
            <w:pPr>
              <w:shd w:val="clear" w:color="auto" w:fill="auto"/>
              <w:ind w:firstLine="482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账户</w:t>
            </w:r>
          </w:p>
        </w:tc>
        <w:tc>
          <w:tcPr>
            <w:tcW w:w="6722" w:type="dxa"/>
            <w:gridSpan w:val="14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账户名称：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722" w:type="dxa"/>
            <w:gridSpan w:val="14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开户银行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722" w:type="dxa"/>
            <w:gridSpan w:val="14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账号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882" w:type="dxa"/>
            <w:gridSpan w:val="4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shd w:val="clear" w:color="auto" w:fill="auto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附件（附件是否齐全，如齐全，请在相应材料前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 xml:space="preserve">√）    </w:t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  <w:t>□民主决策决议原件（复印件需盖章，注明与原件一致）</w:t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  <w:t xml:space="preserve">□权属证明材料 </w:t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z w:val="24"/>
                <w:highlight w:val="none"/>
              </w:rPr>
              <w:t>□资产评估报告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村集体经济组织</w:t>
            </w: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村集体经济组织登记证副本复印件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82" w:type="dxa"/>
            <w:gridSpan w:val="4"/>
            <w:vMerge w:val="continue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28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8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转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出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方</w:t>
            </w: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shd w:val="clear" w:color="auto" w:fill="auto"/>
              <w:spacing w:line="360" w:lineRule="auto"/>
              <w:ind w:firstLine="4080" w:firstLineChars="1700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shd w:val="clear" w:color="auto" w:fill="auto"/>
              <w:spacing w:line="360" w:lineRule="auto"/>
              <w:ind w:firstLine="4080" w:firstLineChars="1700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shd w:val="clear" w:color="auto" w:fill="auto"/>
              <w:spacing w:line="360" w:lineRule="auto"/>
              <w:ind w:firstLine="4080" w:firstLineChars="1700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法定代表人签字：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   （盖章）</w:t>
            </w:r>
          </w:p>
          <w:p>
            <w:pPr>
              <w:shd w:val="clear" w:color="auto" w:fill="auto"/>
              <w:spacing w:line="360" w:lineRule="auto"/>
              <w:jc w:val="right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882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乡（镇）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政府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审核</w:t>
            </w: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shd w:val="clear" w:color="auto" w:fill="auto"/>
              <w:tabs>
                <w:tab w:val="center" w:pos="3992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审核意见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ab/>
            </w: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   （盖章）</w:t>
            </w:r>
          </w:p>
          <w:p>
            <w:pPr>
              <w:shd w:val="clear" w:color="auto" w:fill="auto"/>
              <w:spacing w:line="360" w:lineRule="auto"/>
              <w:ind w:left="6000" w:hanging="6000" w:hangingChars="2500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88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农交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中心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6722" w:type="dxa"/>
            <w:gridSpan w:val="14"/>
            <w:noWrap w:val="0"/>
            <w:vAlign w:val="top"/>
          </w:tcPr>
          <w:p>
            <w:pPr>
              <w:tabs>
                <w:tab w:val="center" w:pos="3992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tabs>
                <w:tab w:val="center" w:pos="3992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（盖章）</w:t>
            </w:r>
          </w:p>
          <w:p>
            <w:pPr>
              <w:tabs>
                <w:tab w:val="center" w:pos="3992"/>
              </w:tabs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</w:tbl>
    <w:p>
      <w:pPr>
        <w:shd w:val="clear" w:color="auto" w:fill="auto"/>
        <w:rPr>
          <w:rFonts w:ascii="宋体"/>
          <w:color w:val="auto"/>
          <w:highlight w:val="none"/>
        </w:rPr>
      </w:pPr>
    </w:p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417D0"/>
    <w:multiLevelType w:val="singleLevel"/>
    <w:tmpl w:val="CB2417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9EF764"/>
    <w:multiLevelType w:val="singleLevel"/>
    <w:tmpl w:val="579EF76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EBB61BF"/>
    <w:rsid w:val="4B994673"/>
    <w:rsid w:val="63651FF8"/>
    <w:rsid w:val="6EB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uiPriority w:val="0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20"/>
    </w:rPr>
  </w:style>
  <w:style w:type="paragraph" w:styleId="5">
    <w:name w:val="Balloon Text"/>
    <w:basedOn w:val="1"/>
    <w:unhideWhenUsed/>
    <w:qFormat/>
    <w:uiPriority w:val="99"/>
    <w:rPr>
      <w:kern w:val="0"/>
      <w:sz w:val="18"/>
      <w:szCs w:val="18"/>
    </w:rPr>
  </w:style>
  <w:style w:type="paragraph" w:styleId="6">
    <w:name w:val="Message 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customStyle="1" w:styleId="9">
    <w:name w:val="正文表格"/>
    <w:basedOn w:val="1"/>
    <w:autoRedefine/>
    <w:qFormat/>
    <w:uiPriority w:val="0"/>
    <w:pPr>
      <w:spacing w:before="60" w:after="60"/>
    </w:pPr>
    <w:rPr>
      <w:sz w:val="24"/>
      <w:szCs w:val="20"/>
    </w:rPr>
  </w:style>
  <w:style w:type="paragraph" w:customStyle="1" w:styleId="10">
    <w:name w:val="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2024-03-19T06:13:00Z</dcterms:created>
  <dc:creator>海南农交办公账号</dc:creator>
  <cp:lastModifiedBy>孙福街</cp:lastModifiedBy>
  <dcterms:modified xsi:type="dcterms:W3CDTF">2024-04-19T00:37:42Z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EC09C7354D5C46CB9D453403C2B6E1E3_11</vt:lpwstr>
  </property>
</Properties>
</file>