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651FD">
      <w:pPr>
        <w:pStyle w:val="2"/>
      </w:pPr>
    </w:p>
    <w:p w14:paraId="76110C37">
      <w:pPr>
        <w:spacing w:line="520" w:lineRule="exact"/>
        <w:jc w:val="center"/>
        <w:rPr>
          <w:rFonts w:ascii="宋体" w:hAnsi="宋体" w:eastAsia="宋体" w:cs="Times New Roman"/>
          <w:b/>
          <w:bCs/>
          <w:color w:val="000000"/>
          <w:sz w:val="44"/>
          <w:szCs w:val="44"/>
        </w:rPr>
      </w:pPr>
      <w:r>
        <w:rPr>
          <w:rFonts w:hint="eastAsia" w:ascii="宋体" w:hAnsi="宋体" w:eastAsia="宋体" w:cs="Times New Roman"/>
          <w:b/>
          <w:bCs/>
          <w:color w:val="000000"/>
          <w:sz w:val="44"/>
          <w:szCs w:val="44"/>
          <w:lang w:val="en-US" w:eastAsia="zh-CN"/>
        </w:rPr>
        <w:t>袁州区</w:t>
      </w:r>
      <w:r>
        <w:rPr>
          <w:rFonts w:hint="eastAsia" w:ascii="宋体" w:hAnsi="宋体" w:eastAsia="宋体" w:cs="Times New Roman"/>
          <w:b/>
          <w:bCs/>
          <w:color w:val="000000"/>
          <w:sz w:val="44"/>
          <w:szCs w:val="44"/>
        </w:rPr>
        <w:t>农村集体经营性资产流转合同</w:t>
      </w:r>
    </w:p>
    <w:p w14:paraId="3B62A179">
      <w:pPr>
        <w:spacing w:line="520" w:lineRule="exact"/>
        <w:jc w:val="center"/>
        <w:rPr>
          <w:rFonts w:ascii="宋体" w:hAnsi="宋体" w:eastAsia="宋体" w:cs="Times New Roman"/>
          <w:b/>
          <w:bCs/>
          <w:color w:val="000000"/>
          <w:sz w:val="32"/>
          <w:szCs w:val="32"/>
        </w:rPr>
      </w:pPr>
    </w:p>
    <w:p w14:paraId="4DC353FF">
      <w:pPr>
        <w:spacing w:line="520" w:lineRule="exact"/>
        <w:rPr>
          <w:rFonts w:ascii="宋体" w:hAnsi="宋体" w:cs="仿宋_GB2312"/>
          <w:b/>
          <w:color w:val="000000"/>
          <w:sz w:val="28"/>
          <w:szCs w:val="30"/>
        </w:rPr>
      </w:pPr>
      <w:r>
        <w:rPr>
          <w:rFonts w:hint="eastAsia" w:ascii="宋体" w:hAnsi="宋体" w:cs="仿宋_GB2312"/>
          <w:b/>
          <w:color w:val="000000"/>
          <w:sz w:val="28"/>
          <w:szCs w:val="30"/>
        </w:rPr>
        <w:t>转出方（以下简称甲方）：</w:t>
      </w:r>
      <w:r>
        <w:rPr>
          <w:rFonts w:ascii="宋体" w:hAnsi="宋体"/>
          <w:color w:val="000000"/>
          <w:sz w:val="24"/>
          <w:szCs w:val="28"/>
          <w:u w:val="single"/>
        </w:rPr>
        <w:t xml:space="preserve">     </w:t>
      </w:r>
      <w:r>
        <w:rPr>
          <w:rFonts w:hint="eastAsia" w:ascii="宋体" w:hAnsi="宋体"/>
          <w:color w:val="000000"/>
          <w:sz w:val="24"/>
          <w:szCs w:val="28"/>
          <w:u w:val="single"/>
        </w:rPr>
        <w:t xml:space="preserve">                              </w:t>
      </w:r>
    </w:p>
    <w:p w14:paraId="50F5FE36">
      <w:pPr>
        <w:ind w:left="3233" w:hanging="3233" w:hangingChars="1150"/>
        <w:rPr>
          <w:rFonts w:ascii="宋体" w:hAnsi="宋体" w:cs="仿宋_GB2312"/>
          <w:b/>
          <w:color w:val="000000"/>
          <w:sz w:val="28"/>
          <w:szCs w:val="28"/>
          <w:u w:val="dash"/>
        </w:rPr>
      </w:pPr>
    </w:p>
    <w:p w14:paraId="34A0B093">
      <w:pPr>
        <w:spacing w:line="520" w:lineRule="exact"/>
        <w:rPr>
          <w:rFonts w:ascii="宋体" w:hAnsi="宋体" w:cs="仿宋_GB2312"/>
          <w:b/>
          <w:color w:val="000000"/>
          <w:sz w:val="28"/>
          <w:szCs w:val="30"/>
        </w:rPr>
      </w:pPr>
      <w:r>
        <w:rPr>
          <w:rFonts w:hint="eastAsia" w:ascii="宋体" w:hAnsi="宋体" w:cs="仿宋_GB2312"/>
          <w:b/>
          <w:color w:val="000000"/>
          <w:sz w:val="28"/>
          <w:szCs w:val="30"/>
        </w:rPr>
        <w:t>受让方（以下简称乙方）:</w:t>
      </w:r>
      <w:r>
        <w:rPr>
          <w:rFonts w:ascii="宋体" w:hAnsi="宋体"/>
          <w:color w:val="000000"/>
          <w:sz w:val="24"/>
          <w:szCs w:val="28"/>
          <w:u w:val="single"/>
        </w:rPr>
        <w:t xml:space="preserve">     </w:t>
      </w:r>
      <w:r>
        <w:rPr>
          <w:rFonts w:hint="eastAsia" w:ascii="宋体" w:hAnsi="宋体"/>
          <w:color w:val="000000"/>
          <w:sz w:val="24"/>
          <w:szCs w:val="28"/>
          <w:u w:val="single"/>
        </w:rPr>
        <w:t xml:space="preserve">                              </w:t>
      </w:r>
    </w:p>
    <w:p w14:paraId="098FD79C">
      <w:pPr>
        <w:spacing w:line="520" w:lineRule="exact"/>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为发展农村经济，促进集体资产增值保值，根据《中华人民共和国</w:t>
      </w:r>
      <w:r>
        <w:rPr>
          <w:rFonts w:hint="eastAsia" w:ascii="宋体" w:hAnsi="宋体" w:eastAsia="宋体" w:cs="Times New Roman"/>
          <w:color w:val="000000"/>
          <w:sz w:val="24"/>
          <w:szCs w:val="24"/>
          <w:lang w:eastAsia="zh-CN"/>
        </w:rPr>
        <w:t>民法典</w:t>
      </w:r>
      <w:r>
        <w:rPr>
          <w:rFonts w:hint="eastAsia" w:ascii="宋体" w:hAnsi="宋体" w:eastAsia="宋体" w:cs="Times New Roman"/>
          <w:color w:val="000000"/>
          <w:sz w:val="24"/>
          <w:szCs w:val="24"/>
        </w:rPr>
        <w:t>》等相关法律、法规、规章的规定，甲乙双方遵循自愿、公平、诚实信用的原则，经友好协商，签订本合同。</w:t>
      </w:r>
    </w:p>
    <w:p w14:paraId="6E4B6AF9">
      <w:pPr>
        <w:pStyle w:val="9"/>
        <w:keepNext w:val="0"/>
        <w:keepLines w:val="0"/>
        <w:pageBreakBefore w:val="0"/>
        <w:widowControl w:val="0"/>
        <w:numPr>
          <w:ilvl w:val="0"/>
          <w:numId w:val="1"/>
        </w:numPr>
        <w:kinsoku/>
        <w:wordWrap/>
        <w:overflowPunct/>
        <w:topLinePunct w:val="0"/>
        <w:autoSpaceDE/>
        <w:autoSpaceDN/>
        <w:bidi w:val="0"/>
        <w:adjustRightInd/>
        <w:snapToGrid/>
        <w:spacing w:before="313" w:beforeLines="100" w:line="520" w:lineRule="exact"/>
        <w:ind w:left="1310" w:hanging="884" w:firstLineChars="0"/>
        <w:textAlignment w:val="auto"/>
        <w:rPr>
          <w:rFonts w:ascii="宋体" w:hAnsi="宋体" w:eastAsia="宋体" w:cs="Times New Roman"/>
          <w:b/>
          <w:bCs/>
          <w:color w:val="000000"/>
          <w:sz w:val="24"/>
          <w:szCs w:val="24"/>
        </w:rPr>
      </w:pPr>
      <w:r>
        <w:rPr>
          <w:rFonts w:hint="eastAsia" w:ascii="宋体" w:hAnsi="宋体" w:eastAsia="宋体" w:cs="Times New Roman"/>
          <w:b/>
          <w:bCs/>
          <w:color w:val="000000"/>
          <w:sz w:val="24"/>
          <w:szCs w:val="24"/>
        </w:rPr>
        <w:t xml:space="preserve"> 流转标的</w:t>
      </w:r>
    </w:p>
    <w:p w14:paraId="29479939">
      <w:pPr>
        <w:pStyle w:val="9"/>
        <w:spacing w:line="520" w:lineRule="exact"/>
        <w:ind w:firstLine="480"/>
        <w:rPr>
          <w:rFonts w:ascii="宋体" w:hAnsi="宋体" w:eastAsia="宋体"/>
          <w:color w:val="000000"/>
          <w:sz w:val="24"/>
          <w:szCs w:val="24"/>
        </w:rPr>
      </w:pPr>
      <w:r>
        <w:rPr>
          <w:rFonts w:hint="eastAsia" w:ascii="宋体" w:hAnsi="宋体" w:eastAsia="宋体"/>
          <w:color w:val="000000"/>
          <w:sz w:val="24"/>
          <w:szCs w:val="24"/>
        </w:rPr>
        <w:t>1、本合同流转标的为甲方所持有或管理的</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（标的名称）（详见附表一），</w:t>
      </w:r>
      <w:r>
        <w:rPr>
          <w:rFonts w:hint="eastAsia" w:ascii="宋体" w:hAnsi="宋体" w:eastAsia="宋体"/>
          <w:color w:val="000000"/>
          <w:sz w:val="24"/>
          <w:szCs w:val="24"/>
          <w:lang w:eastAsia="zh-CN"/>
        </w:rPr>
        <w:t>袁州区</w:t>
      </w:r>
      <w:r>
        <w:rPr>
          <w:rFonts w:hint="eastAsia" w:ascii="宋体" w:hAnsi="宋体" w:eastAsia="宋体"/>
          <w:color w:val="000000"/>
          <w:sz w:val="24"/>
          <w:szCs w:val="24"/>
        </w:rPr>
        <w:t>农村产权交易中心交易项目编号：</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w:t>
      </w:r>
    </w:p>
    <w:p w14:paraId="5335A7D7">
      <w:pPr>
        <w:spacing w:line="520" w:lineRule="exact"/>
        <w:ind w:firstLine="480" w:firstLineChars="200"/>
        <w:rPr>
          <w:rFonts w:ascii="宋体" w:hAnsi="宋体" w:eastAsia="宋体"/>
          <w:color w:val="000000"/>
          <w:sz w:val="24"/>
          <w:szCs w:val="24"/>
        </w:rPr>
      </w:pPr>
      <w:r>
        <w:rPr>
          <w:rFonts w:hint="eastAsia" w:ascii="宋体" w:hAnsi="宋体" w:eastAsia="宋体"/>
          <w:color w:val="000000"/>
          <w:sz w:val="24"/>
          <w:szCs w:val="24"/>
        </w:rPr>
        <w:t>2、本合同流转标的坐落于：</w:t>
      </w:r>
      <w:r>
        <w:rPr>
          <w:rFonts w:hint="eastAsia" w:ascii="宋体" w:hAnsi="宋体" w:eastAsia="宋体"/>
          <w:color w:val="000000"/>
          <w:sz w:val="24"/>
          <w:szCs w:val="24"/>
          <w:lang w:eastAsia="zh-CN"/>
        </w:rPr>
        <w:t>袁州区</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cs="宋体"/>
          <w:color w:val="000000"/>
          <w:sz w:val="24"/>
        </w:rPr>
        <w:t>乡</w:t>
      </w:r>
      <w:r>
        <w:rPr>
          <w:rFonts w:hint="eastAsia" w:ascii="宋体" w:hAnsi="宋体" w:cs="宋体"/>
          <w:color w:val="000000"/>
          <w:sz w:val="24"/>
          <w:lang w:val="en-US" w:eastAsia="zh-CN"/>
        </w:rPr>
        <w:t>镇</w:t>
      </w:r>
      <w:r>
        <w:rPr>
          <w:rFonts w:hint="eastAsia" w:ascii="宋体" w:hAnsi="宋体" w:cs="宋体"/>
          <w:color w:val="000000"/>
          <w:sz w:val="24"/>
          <w:lang w:eastAsia="zh-CN"/>
        </w:rPr>
        <w:t>（</w:t>
      </w:r>
      <w:r>
        <w:rPr>
          <w:rFonts w:hint="eastAsia" w:ascii="宋体" w:hAnsi="宋体" w:cs="宋体"/>
          <w:color w:val="000000"/>
          <w:sz w:val="24"/>
        </w:rPr>
        <w:t>街道）</w:t>
      </w:r>
      <w:r>
        <w:rPr>
          <w:rFonts w:hint="eastAsia" w:ascii="宋体" w:hAnsi="宋体" w:eastAsia="宋体"/>
          <w:color w:val="000000"/>
          <w:sz w:val="24"/>
          <w:szCs w:val="24"/>
          <w:u w:val="single"/>
        </w:rPr>
        <w:t xml:space="preserve">    </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村</w:t>
      </w:r>
      <w:r>
        <w:rPr>
          <w:rFonts w:ascii="宋体" w:hAnsi="宋体" w:eastAsia="宋体"/>
          <w:color w:val="000000"/>
          <w:sz w:val="24"/>
          <w:szCs w:val="24"/>
        </w:rPr>
        <w:t>_______</w:t>
      </w:r>
      <w:r>
        <w:rPr>
          <w:rFonts w:hint="eastAsia" w:ascii="宋体" w:hAnsi="宋体" w:eastAsia="宋体"/>
          <w:color w:val="000000"/>
          <w:sz w:val="24"/>
          <w:szCs w:val="24"/>
        </w:rPr>
        <w:t>组。</w:t>
      </w:r>
      <w:r>
        <w:rPr>
          <w:rFonts w:ascii="宋体" w:hAnsi="宋体" w:eastAsia="宋体"/>
          <w:color w:val="000000"/>
          <w:sz w:val="24"/>
          <w:szCs w:val="24"/>
        </w:rPr>
        <w:t xml:space="preserve"> 面积：</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w:t>
      </w:r>
    </w:p>
    <w:p w14:paraId="5B56CA4F">
      <w:pPr>
        <w:spacing w:line="520" w:lineRule="exact"/>
        <w:ind w:firstLine="480" w:firstLineChars="200"/>
        <w:rPr>
          <w:rFonts w:ascii="宋体" w:hAnsi="宋体" w:eastAsia="宋体"/>
          <w:color w:val="000000"/>
          <w:sz w:val="24"/>
          <w:szCs w:val="24"/>
        </w:rPr>
      </w:pPr>
      <w:r>
        <w:rPr>
          <w:rFonts w:ascii="宋体" w:hAnsi="宋体" w:eastAsia="宋体"/>
          <w:color w:val="000000"/>
          <w:sz w:val="24"/>
          <w:szCs w:val="24"/>
        </w:rPr>
        <w:t>3</w:t>
      </w:r>
      <w:r>
        <w:rPr>
          <w:rFonts w:hint="eastAsia" w:ascii="宋体" w:hAnsi="宋体" w:eastAsia="宋体"/>
          <w:color w:val="000000"/>
          <w:sz w:val="24"/>
          <w:szCs w:val="24"/>
        </w:rPr>
        <w:t>、本合同流转标的用途：</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w:t>
      </w:r>
    </w:p>
    <w:p w14:paraId="4F6B5A76">
      <w:pPr>
        <w:spacing w:line="520" w:lineRule="exact"/>
        <w:ind w:firstLine="480" w:firstLineChars="200"/>
        <w:rPr>
          <w:rFonts w:ascii="宋体" w:hAnsi="宋体" w:eastAsia="宋体"/>
          <w:color w:val="000000"/>
          <w:sz w:val="24"/>
          <w:szCs w:val="24"/>
        </w:rPr>
      </w:pPr>
      <w:r>
        <w:rPr>
          <w:rFonts w:hint="eastAsia" w:ascii="宋体" w:hAnsi="宋体" w:eastAsia="宋体"/>
          <w:color w:val="000000"/>
          <w:sz w:val="24"/>
          <w:szCs w:val="24"/>
        </w:rPr>
        <w:t>乙方禁止在未经甲方允许的情况下，将标的用做其他用途。</w:t>
      </w:r>
    </w:p>
    <w:p w14:paraId="09683717">
      <w:pPr>
        <w:spacing w:line="520" w:lineRule="exact"/>
        <w:ind w:firstLine="480" w:firstLineChars="200"/>
        <w:rPr>
          <w:rFonts w:ascii="宋体" w:hAnsi="宋体" w:eastAsia="宋体"/>
          <w:color w:val="000000"/>
          <w:sz w:val="24"/>
          <w:szCs w:val="24"/>
        </w:rPr>
      </w:pPr>
      <w:r>
        <w:rPr>
          <w:rFonts w:hint="eastAsia" w:ascii="宋体" w:hAnsi="宋体" w:eastAsia="宋体"/>
          <w:color w:val="000000"/>
          <w:sz w:val="24"/>
          <w:szCs w:val="24"/>
        </w:rPr>
        <w:t>4、本合同流转标的时间于</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日起至</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止（如国家法律</w:t>
      </w:r>
      <w:r>
        <w:rPr>
          <w:rFonts w:ascii="宋体" w:hAnsi="宋体" w:eastAsia="宋体"/>
          <w:color w:val="000000"/>
          <w:sz w:val="24"/>
          <w:szCs w:val="24"/>
        </w:rPr>
        <w:t>、政策对集体经营性资产租赁期限进行调整，双方根据期限变更情况另行商定租赁期限</w:t>
      </w:r>
      <w:r>
        <w:rPr>
          <w:rFonts w:hint="eastAsia" w:ascii="宋体" w:hAnsi="宋体" w:eastAsia="宋体"/>
          <w:color w:val="000000"/>
          <w:sz w:val="24"/>
          <w:szCs w:val="24"/>
        </w:rPr>
        <w:t>）。</w:t>
      </w:r>
    </w:p>
    <w:p w14:paraId="225E6422">
      <w:pPr>
        <w:spacing w:line="520" w:lineRule="exact"/>
        <w:ind w:firstLine="480" w:firstLineChars="200"/>
        <w:rPr>
          <w:rFonts w:ascii="宋体" w:hAnsi="宋体" w:eastAsia="宋体" w:cs="Times New Roman"/>
          <w:bCs/>
          <w:color w:val="000000"/>
          <w:sz w:val="24"/>
          <w:szCs w:val="24"/>
        </w:rPr>
      </w:pPr>
      <w:r>
        <w:rPr>
          <w:rFonts w:hint="eastAsia" w:ascii="宋体" w:hAnsi="宋体" w:eastAsia="宋体" w:cs="Times New Roman"/>
          <w:color w:val="000000"/>
          <w:sz w:val="24"/>
          <w:szCs w:val="24"/>
        </w:rPr>
        <w:t>5、流转标的上未设定任何形式的担保，包括但不限于该标的资产存在抵押、或任何影响标的资产出让的限制或义务。流转标的也未被任何有权机构采取查封等强制性措施。</w:t>
      </w:r>
    </w:p>
    <w:p w14:paraId="11BA3CA0">
      <w:pPr>
        <w:pStyle w:val="9"/>
        <w:keepNext w:val="0"/>
        <w:keepLines w:val="0"/>
        <w:pageBreakBefore w:val="0"/>
        <w:widowControl w:val="0"/>
        <w:numPr>
          <w:ilvl w:val="0"/>
          <w:numId w:val="1"/>
        </w:numPr>
        <w:kinsoku/>
        <w:wordWrap/>
        <w:overflowPunct/>
        <w:topLinePunct w:val="0"/>
        <w:autoSpaceDE/>
        <w:autoSpaceDN/>
        <w:bidi w:val="0"/>
        <w:adjustRightInd/>
        <w:snapToGrid/>
        <w:spacing w:before="313" w:beforeLines="100" w:line="520" w:lineRule="exact"/>
        <w:ind w:left="1310" w:hanging="884" w:firstLineChars="0"/>
        <w:textAlignment w:val="auto"/>
        <w:rPr>
          <w:rFonts w:ascii="宋体" w:hAnsi="宋体" w:eastAsia="宋体" w:cs="Times New Roman"/>
          <w:b/>
          <w:bCs/>
          <w:color w:val="000000"/>
          <w:sz w:val="24"/>
          <w:szCs w:val="24"/>
        </w:rPr>
      </w:pPr>
      <w:r>
        <w:rPr>
          <w:rFonts w:hint="eastAsia" w:ascii="宋体" w:hAnsi="宋体" w:eastAsia="宋体" w:cs="Times New Roman"/>
          <w:b/>
          <w:bCs/>
          <w:color w:val="000000"/>
          <w:sz w:val="24"/>
          <w:szCs w:val="24"/>
        </w:rPr>
        <w:t>流转的前提条件</w:t>
      </w:r>
    </w:p>
    <w:p w14:paraId="1C43553F">
      <w:pPr>
        <w:spacing w:line="520" w:lineRule="exact"/>
        <w:ind w:firstLine="480" w:firstLineChars="200"/>
        <w:rPr>
          <w:rFonts w:ascii="宋体" w:hAnsi="宋体" w:eastAsia="宋体" w:cs="Times New Roman"/>
          <w:color w:val="000000"/>
          <w:sz w:val="24"/>
          <w:szCs w:val="24"/>
        </w:rPr>
      </w:pPr>
      <w:r>
        <w:rPr>
          <w:rFonts w:hint="eastAsia" w:ascii="宋体" w:hAnsi="宋体" w:eastAsia="宋体" w:cs="Times New Roman"/>
          <w:bCs/>
          <w:color w:val="000000"/>
          <w:sz w:val="24"/>
          <w:szCs w:val="24"/>
        </w:rPr>
        <w:t>1、</w:t>
      </w:r>
      <w:r>
        <w:rPr>
          <w:rFonts w:hint="eastAsia" w:ascii="宋体" w:hAnsi="宋体" w:eastAsia="宋体" w:cs="Times New Roman"/>
          <w:color w:val="000000"/>
          <w:sz w:val="24"/>
          <w:szCs w:val="24"/>
        </w:rPr>
        <w:t>本合同标的依照法律法规规章和政策规定可以流转；甲方依法就本合同所涉及的标的资产已履行了内部决策、资产评估和/或政府部门备案等相关程序。</w:t>
      </w:r>
    </w:p>
    <w:p w14:paraId="54770A24">
      <w:pPr>
        <w:spacing w:line="520" w:lineRule="exact"/>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2、甲方依据有关法律、法规、政策的规定，就本合同项下标的资产交易已在</w:t>
      </w:r>
      <w:r>
        <w:rPr>
          <w:rFonts w:hint="eastAsia" w:ascii="宋体" w:hAnsi="宋体" w:eastAsia="宋体" w:cs="Times New Roman"/>
          <w:color w:val="000000"/>
          <w:sz w:val="24"/>
          <w:szCs w:val="24"/>
          <w:lang w:eastAsia="zh-CN"/>
        </w:rPr>
        <w:t>袁州区</w:t>
      </w:r>
      <w:r>
        <w:rPr>
          <w:rFonts w:hint="eastAsia" w:ascii="宋体" w:hAnsi="宋体" w:eastAsia="宋体" w:cs="Times New Roman"/>
          <w:color w:val="000000"/>
          <w:sz w:val="24"/>
          <w:szCs w:val="24"/>
        </w:rPr>
        <w:t>农村产权交易所完成公开信息披露。</w:t>
      </w:r>
    </w:p>
    <w:p w14:paraId="688F9DA2">
      <w:pPr>
        <w:spacing w:line="520" w:lineRule="exact"/>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3、乙方作为受让主体，符合法律、法规、规章和政策关于受让农村集体资产主体的规定。</w:t>
      </w:r>
    </w:p>
    <w:p w14:paraId="28D1986F">
      <w:pPr>
        <w:spacing w:line="520" w:lineRule="exact"/>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4、乙方已详细了解标的资产的流转信息，并同意按照甲方提出的受让条件受让标的资产。</w:t>
      </w:r>
    </w:p>
    <w:p w14:paraId="36D2F378">
      <w:pPr>
        <w:spacing w:line="520" w:lineRule="exact"/>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5、流转期间，国家、集体、上级主管部门给予甲方的无偿划拨、馈赠等，归甲方所有。</w:t>
      </w:r>
    </w:p>
    <w:p w14:paraId="53EB9213">
      <w:pPr>
        <w:pStyle w:val="9"/>
        <w:keepNext w:val="0"/>
        <w:keepLines w:val="0"/>
        <w:pageBreakBefore w:val="0"/>
        <w:widowControl w:val="0"/>
        <w:numPr>
          <w:ilvl w:val="0"/>
          <w:numId w:val="1"/>
        </w:numPr>
        <w:kinsoku/>
        <w:wordWrap/>
        <w:overflowPunct/>
        <w:topLinePunct w:val="0"/>
        <w:autoSpaceDE/>
        <w:autoSpaceDN/>
        <w:bidi w:val="0"/>
        <w:adjustRightInd/>
        <w:snapToGrid/>
        <w:spacing w:before="313" w:beforeLines="100" w:line="520" w:lineRule="exact"/>
        <w:ind w:left="1310" w:hanging="884" w:firstLineChars="0"/>
        <w:textAlignment w:val="auto"/>
        <w:rPr>
          <w:rFonts w:ascii="宋体" w:hAnsi="宋体" w:eastAsia="宋体" w:cs="Times New Roman"/>
          <w:b/>
          <w:bCs/>
          <w:color w:val="000000"/>
          <w:sz w:val="24"/>
          <w:szCs w:val="24"/>
        </w:rPr>
      </w:pPr>
      <w:r>
        <w:rPr>
          <w:rFonts w:hint="eastAsia" w:ascii="宋体" w:hAnsi="宋体" w:eastAsia="宋体" w:cs="Times New Roman"/>
          <w:b/>
          <w:bCs/>
          <w:color w:val="000000"/>
          <w:sz w:val="24"/>
          <w:szCs w:val="24"/>
        </w:rPr>
        <w:t>流转方式</w:t>
      </w:r>
    </w:p>
    <w:p w14:paraId="2161A1B7">
      <w:pPr>
        <w:spacing w:line="520" w:lineRule="exact"/>
        <w:ind w:left="426"/>
        <w:rPr>
          <w:rFonts w:ascii="宋体" w:hAnsi="宋体" w:eastAsia="宋体"/>
          <w:sz w:val="24"/>
          <w:szCs w:val="24"/>
        </w:rPr>
      </w:pPr>
      <w:r>
        <w:rPr>
          <w:rFonts w:hint="eastAsia" w:ascii="宋体" w:hAnsi="宋体" w:eastAsia="宋体"/>
          <w:bCs/>
          <w:color w:val="000000"/>
          <w:sz w:val="24"/>
          <w:szCs w:val="24"/>
        </w:rPr>
        <w:t>1、本合同项下标的资产流转信息已于</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日</w:t>
      </w:r>
      <w:r>
        <w:rPr>
          <w:rFonts w:hint="eastAsia" w:ascii="宋体" w:hAnsi="宋体" w:eastAsia="宋体"/>
          <w:bCs/>
          <w:color w:val="000000"/>
          <w:sz w:val="24"/>
          <w:szCs w:val="24"/>
        </w:rPr>
        <w:t>经</w:t>
      </w:r>
      <w:r>
        <w:rPr>
          <w:rFonts w:hint="eastAsia" w:ascii="宋体" w:hAnsi="宋体" w:eastAsia="宋体"/>
          <w:bCs/>
          <w:color w:val="000000"/>
          <w:sz w:val="24"/>
          <w:szCs w:val="24"/>
          <w:lang w:eastAsia="zh-CN"/>
        </w:rPr>
        <w:t>袁州区</w:t>
      </w:r>
      <w:r>
        <w:rPr>
          <w:rFonts w:hint="eastAsia" w:ascii="宋体" w:hAnsi="宋体" w:eastAsia="宋体"/>
          <w:bCs/>
          <w:color w:val="000000"/>
          <w:sz w:val="24"/>
          <w:szCs w:val="24"/>
        </w:rPr>
        <w:t>农村产权交易中心信息发布，根据信息发布期受让方报名情况，组织实施交易（2人或两人以上通过网络竞价方式），产生乙方一个意向受让方，由乙方依法受让本合同项下流转标的。</w:t>
      </w:r>
    </w:p>
    <w:p w14:paraId="5B1256BA">
      <w:pPr>
        <w:pStyle w:val="9"/>
        <w:numPr>
          <w:ilvl w:val="1"/>
          <w:numId w:val="1"/>
        </w:numPr>
        <w:spacing w:line="520" w:lineRule="exact"/>
        <w:ind w:firstLineChars="0"/>
        <w:rPr>
          <w:rFonts w:ascii="宋体" w:hAnsi="宋体" w:eastAsia="宋体" w:cs="Times New Roman"/>
          <w:bCs/>
          <w:color w:val="000000"/>
          <w:sz w:val="24"/>
          <w:szCs w:val="24"/>
        </w:rPr>
      </w:pPr>
      <w:r>
        <w:rPr>
          <w:rFonts w:hint="eastAsia" w:ascii="宋体" w:hAnsi="宋体" w:eastAsia="宋体" w:cs="Times New Roman"/>
          <w:bCs/>
          <w:color w:val="000000"/>
          <w:sz w:val="24"/>
          <w:szCs w:val="24"/>
        </w:rPr>
        <w:t>双方采取</w:t>
      </w:r>
      <w:r>
        <w:rPr>
          <w:rFonts w:hint="eastAsia"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rPr>
        <w:t>（出租/发包/转让/合作/入股/其他） 的方式。</w:t>
      </w:r>
    </w:p>
    <w:p w14:paraId="3160D554">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ascii="宋体" w:hAnsi="宋体" w:eastAsia="宋体"/>
          <w:b/>
          <w:bCs/>
          <w:color w:val="000000"/>
          <w:sz w:val="24"/>
          <w:szCs w:val="24"/>
        </w:rPr>
      </w:pPr>
      <w:r>
        <w:rPr>
          <w:rFonts w:hint="eastAsia" w:ascii="宋体" w:hAnsi="宋体" w:eastAsia="宋体"/>
          <w:b/>
          <w:bCs/>
          <w:color w:val="000000"/>
          <w:sz w:val="24"/>
          <w:szCs w:val="24"/>
        </w:rPr>
        <w:t>第四条  流转费用及支付方式</w:t>
      </w:r>
    </w:p>
    <w:p w14:paraId="6EDBFF67">
      <w:pPr>
        <w:spacing w:line="520" w:lineRule="exact"/>
        <w:ind w:firstLine="482" w:firstLineChars="200"/>
        <w:rPr>
          <w:rFonts w:hint="eastAsia" w:ascii="宋体" w:hAnsi="宋体" w:eastAsia="宋体"/>
          <w:b/>
          <w:bCs/>
          <w:color w:val="000000"/>
          <w:sz w:val="24"/>
          <w:szCs w:val="24"/>
        </w:rPr>
      </w:pPr>
      <w:r>
        <w:rPr>
          <w:rFonts w:hint="eastAsia" w:ascii="宋体" w:hAnsi="宋体" w:eastAsia="宋体"/>
          <w:b/>
          <w:color w:val="000000"/>
          <w:sz w:val="24"/>
          <w:szCs w:val="24"/>
        </w:rPr>
        <w:t>1、</w:t>
      </w:r>
      <w:r>
        <w:rPr>
          <w:rFonts w:hint="eastAsia" w:ascii="宋体" w:hAnsi="宋体" w:eastAsia="宋体"/>
          <w:b/>
          <w:bCs/>
          <w:color w:val="000000"/>
          <w:sz w:val="24"/>
          <w:szCs w:val="24"/>
        </w:rPr>
        <w:t>根据信息发布结果流转费用按下列第</w:t>
      </w:r>
      <w:r>
        <w:rPr>
          <w:rFonts w:ascii="宋体" w:hAnsi="宋体" w:eastAsia="宋体"/>
          <w:b/>
          <w:bCs/>
          <w:color w:val="000000"/>
          <w:sz w:val="24"/>
          <w:szCs w:val="24"/>
        </w:rPr>
        <w:t>___</w:t>
      </w:r>
      <w:r>
        <w:rPr>
          <w:rFonts w:hint="eastAsia" w:ascii="宋体" w:hAnsi="宋体" w:eastAsia="宋体"/>
          <w:b/>
          <w:bCs/>
          <w:color w:val="000000"/>
          <w:sz w:val="24"/>
          <w:szCs w:val="24"/>
        </w:rPr>
        <w:t>种方式计费：</w:t>
      </w:r>
    </w:p>
    <w:p w14:paraId="3D426C00">
      <w:pPr>
        <w:pStyle w:val="2"/>
        <w:rPr>
          <w:b/>
          <w:bCs/>
          <w:sz w:val="24"/>
          <w:szCs w:val="24"/>
        </w:rPr>
      </w:pPr>
      <w:r>
        <w:rPr>
          <w:rFonts w:hint="eastAsia"/>
          <w:b/>
          <w:bCs/>
          <w:sz w:val="24"/>
          <w:szCs w:val="24"/>
        </w:rPr>
        <w:t>流转费用由农村产权交易中心（袁州区农村产权交易有限公司）代收，中心在规定工作日内，按规定流程转交甲方。中心可在支付到期日前三个月向乙方以电话或短信方式提醒缴款日期和金额。</w:t>
      </w:r>
      <w:bookmarkStart w:id="0" w:name="_GoBack"/>
      <w:bookmarkEnd w:id="0"/>
    </w:p>
    <w:p w14:paraId="2A89DCC7">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①阶梯计费：流转期前</w:t>
      </w:r>
      <w:r>
        <w:rPr>
          <w:rFonts w:ascii="宋体" w:hAnsi="宋体" w:eastAsia="宋体"/>
          <w:bCs/>
          <w:color w:val="000000"/>
          <w:sz w:val="24"/>
          <w:szCs w:val="24"/>
        </w:rPr>
        <w:t>_____</w:t>
      </w:r>
      <w:r>
        <w:rPr>
          <w:rFonts w:hint="eastAsia" w:ascii="宋体" w:hAnsi="宋体" w:eastAsia="宋体"/>
          <w:bCs/>
          <w:color w:val="000000"/>
          <w:sz w:val="24"/>
          <w:szCs w:val="24"/>
        </w:rPr>
        <w:t>年每亩每年人民币</w:t>
      </w:r>
      <w:r>
        <w:rPr>
          <w:rFonts w:ascii="宋体" w:hAnsi="宋体" w:eastAsia="宋体"/>
          <w:bCs/>
          <w:color w:val="000000"/>
          <w:sz w:val="24"/>
          <w:szCs w:val="24"/>
        </w:rPr>
        <w:t>_____</w:t>
      </w:r>
      <w:r>
        <w:rPr>
          <w:rFonts w:hint="eastAsia" w:ascii="宋体" w:hAnsi="宋体" w:eastAsia="宋体"/>
          <w:bCs/>
          <w:color w:val="000000"/>
          <w:sz w:val="24"/>
          <w:szCs w:val="24"/>
        </w:rPr>
        <w:t>元，以此为基数，每</w:t>
      </w:r>
      <w:r>
        <w:rPr>
          <w:rFonts w:ascii="宋体" w:hAnsi="宋体" w:eastAsia="宋体"/>
          <w:bCs/>
          <w:color w:val="000000"/>
          <w:sz w:val="24"/>
          <w:szCs w:val="24"/>
        </w:rPr>
        <w:t>_____</w:t>
      </w:r>
      <w:r>
        <w:rPr>
          <w:rFonts w:hint="eastAsia" w:ascii="宋体" w:hAnsi="宋体" w:eastAsia="宋体"/>
          <w:bCs/>
          <w:color w:val="000000"/>
          <w:sz w:val="24"/>
          <w:szCs w:val="24"/>
        </w:rPr>
        <w:t>年每亩上浮</w:t>
      </w:r>
      <w:r>
        <w:rPr>
          <w:rFonts w:ascii="宋体" w:hAnsi="宋体" w:eastAsia="宋体"/>
          <w:bCs/>
          <w:color w:val="000000"/>
          <w:sz w:val="24"/>
          <w:szCs w:val="24"/>
        </w:rPr>
        <w:t>____</w:t>
      </w:r>
      <w:r>
        <w:rPr>
          <w:rFonts w:hint="eastAsia" w:ascii="宋体" w:hAnsi="宋体" w:eastAsia="宋体"/>
          <w:bCs/>
          <w:color w:val="000000"/>
          <w:sz w:val="24"/>
          <w:szCs w:val="24"/>
        </w:rPr>
        <w:t>元（或</w:t>
      </w:r>
      <w:r>
        <w:rPr>
          <w:rFonts w:ascii="宋体" w:hAnsi="宋体" w:eastAsia="宋体"/>
          <w:bCs/>
          <w:color w:val="000000"/>
          <w:sz w:val="24"/>
          <w:szCs w:val="24"/>
        </w:rPr>
        <w:t>_____</w:t>
      </w:r>
      <w:r>
        <w:rPr>
          <w:rFonts w:hint="eastAsia" w:ascii="宋体" w:hAnsi="宋体" w:eastAsia="宋体"/>
          <w:bCs/>
          <w:color w:val="000000"/>
          <w:sz w:val="24"/>
          <w:szCs w:val="24"/>
        </w:rPr>
        <w:t>%），至合同期满。流转费用共计人民币：（大写）：_</w:t>
      </w:r>
      <w:r>
        <w:rPr>
          <w:rFonts w:ascii="宋体" w:hAnsi="宋体" w:eastAsia="宋体"/>
          <w:bCs/>
          <w:color w:val="000000"/>
          <w:sz w:val="24"/>
          <w:szCs w:val="24"/>
        </w:rPr>
        <w:t>______________________</w:t>
      </w:r>
      <w:r>
        <w:rPr>
          <w:rFonts w:hint="eastAsia" w:ascii="宋体" w:hAnsi="宋体" w:eastAsia="宋体"/>
          <w:bCs/>
          <w:color w:val="000000"/>
          <w:sz w:val="24"/>
          <w:szCs w:val="24"/>
        </w:rPr>
        <w:t>元整（¥：</w:t>
      </w:r>
      <w:r>
        <w:rPr>
          <w:rFonts w:ascii="宋体" w:hAnsi="宋体" w:eastAsia="宋体"/>
          <w:bCs/>
          <w:color w:val="000000"/>
          <w:sz w:val="24"/>
          <w:szCs w:val="24"/>
        </w:rPr>
        <w:t>__________</w:t>
      </w:r>
      <w:r>
        <w:rPr>
          <w:rFonts w:hint="eastAsia" w:ascii="宋体" w:hAnsi="宋体" w:eastAsia="宋体"/>
          <w:bCs/>
          <w:color w:val="000000"/>
          <w:sz w:val="24"/>
          <w:szCs w:val="24"/>
        </w:rPr>
        <w:t>元）</w:t>
      </w:r>
    </w:p>
    <w:p w14:paraId="6B8DE843">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②固定计费：每亩每年人民币</w:t>
      </w:r>
      <w:r>
        <w:rPr>
          <w:rFonts w:ascii="宋体" w:hAnsi="宋体" w:eastAsia="宋体"/>
          <w:bCs/>
          <w:color w:val="000000"/>
          <w:sz w:val="24"/>
          <w:szCs w:val="24"/>
        </w:rPr>
        <w:t>____</w:t>
      </w:r>
      <w:r>
        <w:rPr>
          <w:rFonts w:hint="eastAsia" w:ascii="宋体" w:hAnsi="宋体" w:eastAsia="宋体"/>
          <w:bCs/>
          <w:color w:val="000000"/>
          <w:sz w:val="24"/>
          <w:szCs w:val="24"/>
        </w:rPr>
        <w:t>元，共流转</w:t>
      </w:r>
      <w:r>
        <w:rPr>
          <w:rFonts w:ascii="宋体" w:hAnsi="宋体" w:eastAsia="宋体"/>
          <w:bCs/>
          <w:color w:val="000000"/>
          <w:sz w:val="24"/>
          <w:szCs w:val="24"/>
        </w:rPr>
        <w:t>____</w:t>
      </w:r>
      <w:r>
        <w:rPr>
          <w:rFonts w:hint="eastAsia" w:ascii="宋体" w:hAnsi="宋体" w:eastAsia="宋体"/>
          <w:bCs/>
          <w:color w:val="000000"/>
          <w:sz w:val="24"/>
          <w:szCs w:val="24"/>
        </w:rPr>
        <w:t>年，流转费用共计人民币：（大写）：_</w:t>
      </w:r>
      <w:r>
        <w:rPr>
          <w:rFonts w:ascii="宋体" w:hAnsi="宋体" w:eastAsia="宋体"/>
          <w:bCs/>
          <w:color w:val="000000"/>
          <w:sz w:val="24"/>
          <w:szCs w:val="24"/>
        </w:rPr>
        <w:t>______________________</w:t>
      </w:r>
      <w:r>
        <w:rPr>
          <w:rFonts w:hint="eastAsia" w:ascii="宋体" w:hAnsi="宋体" w:eastAsia="宋体"/>
          <w:bCs/>
          <w:color w:val="000000"/>
          <w:sz w:val="24"/>
          <w:szCs w:val="24"/>
        </w:rPr>
        <w:t>（¥：</w:t>
      </w:r>
      <w:r>
        <w:rPr>
          <w:rFonts w:ascii="宋体" w:hAnsi="宋体" w:eastAsia="宋体"/>
          <w:bCs/>
          <w:color w:val="000000"/>
          <w:sz w:val="24"/>
          <w:szCs w:val="24"/>
        </w:rPr>
        <w:t>__________</w:t>
      </w:r>
      <w:r>
        <w:rPr>
          <w:rFonts w:hint="eastAsia" w:ascii="宋体" w:hAnsi="宋体" w:eastAsia="宋体"/>
          <w:bCs/>
          <w:color w:val="000000"/>
          <w:sz w:val="24"/>
          <w:szCs w:val="24"/>
        </w:rPr>
        <w:t xml:space="preserve">元）。 </w:t>
      </w:r>
    </w:p>
    <w:p w14:paraId="1CCA33E8">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③其他计费方式：</w:t>
      </w:r>
    </w:p>
    <w:p w14:paraId="28C5DCEF">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_</w:t>
      </w:r>
      <w:r>
        <w:rPr>
          <w:rFonts w:ascii="宋体" w:hAnsi="宋体" w:eastAsia="宋体"/>
          <w:bCs/>
          <w:color w:val="000000"/>
          <w:sz w:val="24"/>
          <w:szCs w:val="24"/>
        </w:rPr>
        <w:t>______________________________________________________________________</w:t>
      </w:r>
      <w:r>
        <w:rPr>
          <w:rFonts w:hint="eastAsia" w:ascii="宋体" w:hAnsi="宋体" w:eastAsia="宋体"/>
          <w:bCs/>
          <w:color w:val="000000"/>
          <w:sz w:val="24"/>
          <w:szCs w:val="24"/>
        </w:rPr>
        <w:t>_</w:t>
      </w:r>
      <w:r>
        <w:rPr>
          <w:rFonts w:ascii="宋体" w:hAnsi="宋体" w:eastAsia="宋体"/>
          <w:bCs/>
          <w:color w:val="000000"/>
          <w:sz w:val="24"/>
          <w:szCs w:val="24"/>
        </w:rPr>
        <w:t>______________________________________________________________________</w:t>
      </w:r>
      <w:r>
        <w:rPr>
          <w:rFonts w:hint="eastAsia" w:ascii="宋体" w:hAnsi="宋体" w:eastAsia="宋体"/>
          <w:bCs/>
          <w:color w:val="000000"/>
          <w:sz w:val="24"/>
          <w:szCs w:val="24"/>
        </w:rPr>
        <w:t>_</w:t>
      </w:r>
      <w:r>
        <w:rPr>
          <w:rFonts w:ascii="宋体" w:hAnsi="宋体" w:eastAsia="宋体"/>
          <w:bCs/>
          <w:color w:val="000000"/>
          <w:sz w:val="24"/>
          <w:szCs w:val="24"/>
        </w:rPr>
        <w:t>______________________________________________________________________</w:t>
      </w:r>
      <w:r>
        <w:rPr>
          <w:rFonts w:hint="eastAsia" w:ascii="宋体" w:hAnsi="宋体" w:eastAsia="宋体"/>
          <w:bCs/>
          <w:color w:val="000000"/>
          <w:sz w:val="24"/>
          <w:szCs w:val="24"/>
        </w:rPr>
        <w:t>_</w:t>
      </w:r>
      <w:r>
        <w:rPr>
          <w:rFonts w:ascii="宋体" w:hAnsi="宋体" w:eastAsia="宋体"/>
          <w:bCs/>
          <w:color w:val="000000"/>
          <w:sz w:val="24"/>
          <w:szCs w:val="24"/>
        </w:rPr>
        <w:t>______________________________________________________________________</w:t>
      </w:r>
      <w:r>
        <w:rPr>
          <w:rFonts w:hint="eastAsia" w:ascii="宋体" w:hAnsi="宋体" w:eastAsia="宋体"/>
          <w:bCs/>
          <w:color w:val="000000"/>
          <w:sz w:val="24"/>
          <w:szCs w:val="24"/>
        </w:rPr>
        <w:t>_</w:t>
      </w:r>
      <w:r>
        <w:rPr>
          <w:rFonts w:ascii="宋体" w:hAnsi="宋体" w:eastAsia="宋体"/>
          <w:bCs/>
          <w:color w:val="000000"/>
          <w:sz w:val="24"/>
          <w:szCs w:val="24"/>
        </w:rPr>
        <w:t>__________________________________________________________________</w:t>
      </w:r>
    </w:p>
    <w:p w14:paraId="73BF03E4">
      <w:pPr>
        <w:spacing w:line="520" w:lineRule="exact"/>
        <w:ind w:firstLine="482" w:firstLineChars="200"/>
        <w:rPr>
          <w:rFonts w:ascii="宋体" w:hAnsi="宋体" w:eastAsia="宋体"/>
          <w:b/>
          <w:color w:val="000000"/>
          <w:sz w:val="24"/>
          <w:szCs w:val="24"/>
        </w:rPr>
      </w:pPr>
      <w:r>
        <w:rPr>
          <w:rFonts w:hint="eastAsia" w:ascii="宋体" w:hAnsi="宋体" w:eastAsia="宋体"/>
          <w:b/>
          <w:color w:val="000000"/>
          <w:sz w:val="24"/>
          <w:szCs w:val="24"/>
        </w:rPr>
        <w:t>2、根据信息发布结果，流转费用按下列第</w:t>
      </w:r>
      <w:r>
        <w:rPr>
          <w:rFonts w:ascii="宋体" w:hAnsi="宋体" w:eastAsia="宋体"/>
          <w:b/>
          <w:color w:val="000000"/>
          <w:sz w:val="24"/>
          <w:szCs w:val="24"/>
        </w:rPr>
        <w:t>____</w:t>
      </w:r>
      <w:r>
        <w:rPr>
          <w:rFonts w:hint="eastAsia" w:ascii="宋体" w:hAnsi="宋体" w:eastAsia="宋体"/>
          <w:b/>
          <w:color w:val="000000"/>
          <w:sz w:val="24"/>
          <w:szCs w:val="24"/>
        </w:rPr>
        <w:t>种方式支付：</w:t>
      </w:r>
    </w:p>
    <w:p w14:paraId="2D24A839">
      <w:pPr>
        <w:spacing w:line="520" w:lineRule="exact"/>
        <w:ind w:firstLine="480" w:firstLineChars="200"/>
        <w:jc w:val="left"/>
        <w:rPr>
          <w:rFonts w:ascii="宋体" w:hAnsi="宋体" w:eastAsia="宋体"/>
          <w:bCs/>
          <w:color w:val="000000"/>
          <w:sz w:val="24"/>
          <w:szCs w:val="24"/>
        </w:rPr>
      </w:pPr>
      <w:r>
        <w:rPr>
          <w:rFonts w:hint="eastAsia" w:ascii="宋体" w:hAnsi="宋体" w:eastAsia="宋体"/>
          <w:bCs/>
          <w:color w:val="000000"/>
          <w:sz w:val="24"/>
          <w:szCs w:val="24"/>
        </w:rPr>
        <w:t>①按年度支付：乙方于每年的</w:t>
      </w:r>
      <w:r>
        <w:rPr>
          <w:rFonts w:ascii="宋体" w:hAnsi="宋体" w:eastAsia="宋体"/>
          <w:bCs/>
          <w:color w:val="000000"/>
          <w:sz w:val="24"/>
          <w:szCs w:val="24"/>
        </w:rPr>
        <w:t>____</w:t>
      </w:r>
      <w:r>
        <w:rPr>
          <w:rFonts w:hint="eastAsia" w:ascii="宋体" w:hAnsi="宋体" w:eastAsia="宋体"/>
          <w:bCs/>
          <w:color w:val="000000"/>
          <w:sz w:val="24"/>
          <w:szCs w:val="24"/>
        </w:rPr>
        <w:t>月</w:t>
      </w:r>
      <w:r>
        <w:rPr>
          <w:rFonts w:ascii="宋体" w:hAnsi="宋体" w:eastAsia="宋体"/>
          <w:bCs/>
          <w:color w:val="000000"/>
          <w:sz w:val="24"/>
          <w:szCs w:val="24"/>
        </w:rPr>
        <w:t>____</w:t>
      </w:r>
      <w:r>
        <w:rPr>
          <w:rFonts w:hint="eastAsia" w:ascii="宋体" w:hAnsi="宋体" w:eastAsia="宋体"/>
          <w:bCs/>
          <w:color w:val="000000"/>
          <w:sz w:val="24"/>
          <w:szCs w:val="24"/>
        </w:rPr>
        <w:t>日前，将全年的流转费</w:t>
      </w:r>
      <w:r>
        <w:rPr>
          <w:rFonts w:ascii="宋体" w:hAnsi="宋体" w:eastAsia="宋体"/>
          <w:bCs/>
          <w:color w:val="000000"/>
          <w:sz w:val="24"/>
          <w:szCs w:val="24"/>
        </w:rPr>
        <w:t>______</w:t>
      </w:r>
      <w:r>
        <w:rPr>
          <w:rFonts w:hint="eastAsia" w:ascii="宋体" w:hAnsi="宋体" w:eastAsia="宋体"/>
          <w:bCs/>
          <w:color w:val="000000"/>
          <w:sz w:val="24"/>
          <w:szCs w:val="24"/>
        </w:rPr>
        <w:t>元支付给甲方。</w:t>
      </w:r>
    </w:p>
    <w:p w14:paraId="5042F1C0">
      <w:pPr>
        <w:spacing w:line="520" w:lineRule="exact"/>
        <w:ind w:firstLine="480" w:firstLineChars="200"/>
        <w:jc w:val="left"/>
        <w:rPr>
          <w:rFonts w:ascii="宋体" w:hAnsi="宋体" w:eastAsia="宋体"/>
          <w:bCs/>
          <w:color w:val="000000"/>
          <w:sz w:val="24"/>
          <w:szCs w:val="24"/>
        </w:rPr>
      </w:pPr>
      <w:r>
        <w:rPr>
          <w:rFonts w:hint="eastAsia" w:ascii="宋体" w:hAnsi="宋体" w:eastAsia="宋体"/>
          <w:bCs/>
          <w:color w:val="000000"/>
          <w:sz w:val="24"/>
          <w:szCs w:val="24"/>
        </w:rPr>
        <w:t>②一次性支付：乙方于</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bCs/>
          <w:color w:val="000000"/>
          <w:sz w:val="24"/>
          <w:szCs w:val="24"/>
        </w:rPr>
        <w:t>日前，将全部流转费</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bCs/>
          <w:color w:val="000000"/>
          <w:sz w:val="24"/>
          <w:szCs w:val="24"/>
        </w:rPr>
        <w:t>元一次性支付给甲方。</w:t>
      </w:r>
    </w:p>
    <w:p w14:paraId="405C4868">
      <w:pPr>
        <w:spacing w:line="520" w:lineRule="exact"/>
        <w:ind w:firstLine="480" w:firstLineChars="200"/>
        <w:jc w:val="left"/>
        <w:rPr>
          <w:rFonts w:ascii="宋体" w:hAnsi="宋体" w:eastAsia="宋体"/>
          <w:bCs/>
          <w:color w:val="000000"/>
          <w:sz w:val="24"/>
          <w:szCs w:val="24"/>
        </w:rPr>
      </w:pPr>
      <w:r>
        <w:rPr>
          <w:rFonts w:hint="eastAsia" w:ascii="宋体" w:hAnsi="宋体" w:eastAsia="宋体"/>
          <w:bCs/>
          <w:color w:val="000000"/>
          <w:sz w:val="24"/>
          <w:szCs w:val="24"/>
        </w:rPr>
        <w:t>③分期支付：</w:t>
      </w:r>
    </w:p>
    <w:p w14:paraId="4DF797A2">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第一次支付:乙方于</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bCs/>
          <w:color w:val="000000"/>
          <w:sz w:val="24"/>
          <w:szCs w:val="24"/>
        </w:rPr>
        <w:t>日前支付给甲方；</w:t>
      </w:r>
    </w:p>
    <w:p w14:paraId="4C83BA66">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第二次支付:乙方于</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bCs/>
          <w:color w:val="000000"/>
          <w:sz w:val="24"/>
          <w:szCs w:val="24"/>
        </w:rPr>
        <w:t xml:space="preserve">日前支付给甲方；             </w:t>
      </w:r>
    </w:p>
    <w:p w14:paraId="340A6234">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第三次支付:乙方于</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年</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color w:val="000000"/>
          <w:sz w:val="24"/>
          <w:szCs w:val="24"/>
        </w:rPr>
        <w:t>月</w:t>
      </w:r>
      <w:r>
        <w:rPr>
          <w:rFonts w:ascii="宋体" w:hAnsi="宋体" w:eastAsia="宋体"/>
          <w:color w:val="000000"/>
          <w:sz w:val="24"/>
          <w:szCs w:val="24"/>
          <w:u w:val="single"/>
        </w:rPr>
        <w:t xml:space="preserve"> </w:t>
      </w:r>
      <w:r>
        <w:rPr>
          <w:rFonts w:hint="eastAsia" w:ascii="宋体" w:hAnsi="宋体" w:eastAsia="宋体"/>
          <w:color w:val="000000"/>
          <w:sz w:val="24"/>
          <w:szCs w:val="24"/>
          <w:u w:val="single"/>
        </w:rPr>
        <w:t xml:space="preserve">   </w:t>
      </w:r>
      <w:r>
        <w:rPr>
          <w:rFonts w:hint="eastAsia" w:ascii="宋体" w:hAnsi="宋体" w:eastAsia="宋体"/>
          <w:bCs/>
          <w:color w:val="000000"/>
          <w:sz w:val="24"/>
          <w:szCs w:val="24"/>
        </w:rPr>
        <w:t>日支付给甲方 。</w:t>
      </w:r>
    </w:p>
    <w:p w14:paraId="13CC4D1C">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④其他支付方式：</w:t>
      </w:r>
    </w:p>
    <w:p w14:paraId="0F3D9B78">
      <w:pPr>
        <w:pStyle w:val="9"/>
        <w:spacing w:line="520" w:lineRule="exact"/>
        <w:ind w:left="1311" w:firstLine="0" w:firstLineChars="0"/>
        <w:rPr>
          <w:rFonts w:ascii="宋体" w:hAnsi="宋体" w:eastAsia="宋体" w:cs="Times New Roman"/>
          <w:b/>
          <w:bCs/>
          <w:color w:val="000000"/>
          <w:sz w:val="28"/>
          <w:szCs w:val="28"/>
        </w:rPr>
      </w:pPr>
      <w:r>
        <w:rPr>
          <w:rFonts w:hint="eastAsia" w:ascii="宋体" w:hAnsi="宋体"/>
          <w:bCs/>
          <w:color w:val="000000"/>
          <w:sz w:val="24"/>
          <w:szCs w:val="24"/>
        </w:rPr>
        <w:t>_</w:t>
      </w:r>
      <w:r>
        <w:rPr>
          <w:rFonts w:ascii="宋体" w:hAnsi="宋体"/>
          <w:bCs/>
          <w:color w:val="000000"/>
          <w:sz w:val="24"/>
          <w:szCs w:val="24"/>
        </w:rPr>
        <w:t>______________________________________________________________________</w:t>
      </w:r>
      <w:r>
        <w:rPr>
          <w:rFonts w:hint="eastAsia" w:ascii="宋体" w:hAnsi="宋体"/>
          <w:bCs/>
          <w:color w:val="000000"/>
          <w:sz w:val="24"/>
          <w:szCs w:val="24"/>
        </w:rPr>
        <w:t>_</w:t>
      </w:r>
      <w:r>
        <w:rPr>
          <w:rFonts w:ascii="宋体" w:hAnsi="宋体"/>
          <w:bCs/>
          <w:color w:val="000000"/>
          <w:sz w:val="24"/>
          <w:szCs w:val="24"/>
        </w:rPr>
        <w:t>______________________________________________________________________</w:t>
      </w:r>
      <w:r>
        <w:rPr>
          <w:rFonts w:hint="eastAsia" w:ascii="宋体" w:hAnsi="宋体"/>
          <w:bCs/>
          <w:color w:val="000000"/>
          <w:sz w:val="24"/>
          <w:szCs w:val="24"/>
        </w:rPr>
        <w:t>_</w:t>
      </w:r>
      <w:r>
        <w:rPr>
          <w:rFonts w:ascii="宋体" w:hAnsi="宋体"/>
          <w:bCs/>
          <w:color w:val="000000"/>
          <w:sz w:val="24"/>
          <w:szCs w:val="24"/>
        </w:rPr>
        <w:t>______________________________________________________________________</w:t>
      </w:r>
      <w:r>
        <w:rPr>
          <w:rFonts w:hint="eastAsia" w:ascii="宋体" w:hAnsi="宋体"/>
          <w:bCs/>
          <w:color w:val="000000"/>
          <w:sz w:val="24"/>
          <w:szCs w:val="24"/>
        </w:rPr>
        <w:t>_</w:t>
      </w:r>
      <w:r>
        <w:rPr>
          <w:rFonts w:ascii="宋体" w:hAnsi="宋体"/>
          <w:bCs/>
          <w:color w:val="000000"/>
          <w:sz w:val="24"/>
          <w:szCs w:val="24"/>
        </w:rPr>
        <w:t>______________________________</w:t>
      </w:r>
    </w:p>
    <w:p w14:paraId="15707CEB">
      <w:pPr>
        <w:spacing w:line="520" w:lineRule="exact"/>
        <w:ind w:firstLine="482" w:firstLineChars="200"/>
        <w:rPr>
          <w:rFonts w:ascii="宋体" w:hAnsi="宋体" w:eastAsia="宋体"/>
          <w:b/>
          <w:color w:val="000000"/>
          <w:sz w:val="24"/>
          <w:szCs w:val="24"/>
        </w:rPr>
      </w:pPr>
      <w:r>
        <w:rPr>
          <w:rFonts w:hint="eastAsia" w:ascii="宋体" w:hAnsi="宋体" w:eastAsia="宋体"/>
          <w:b/>
          <w:color w:val="000000"/>
          <w:sz w:val="24"/>
          <w:szCs w:val="24"/>
        </w:rPr>
        <w:t>3、押金</w:t>
      </w:r>
    </w:p>
    <w:p w14:paraId="4264E467">
      <w:pPr>
        <w:spacing w:line="520" w:lineRule="exact"/>
        <w:ind w:firstLine="480" w:firstLineChars="200"/>
        <w:rPr>
          <w:rFonts w:ascii="宋体" w:hAnsi="宋体" w:eastAsia="宋体"/>
          <w:bCs/>
          <w:color w:val="000000"/>
          <w:sz w:val="24"/>
          <w:szCs w:val="24"/>
        </w:rPr>
      </w:pPr>
      <w:r>
        <w:rPr>
          <w:rFonts w:hint="eastAsia" w:ascii="宋体" w:hAnsi="宋体" w:eastAsia="宋体"/>
          <w:bCs/>
          <w:color w:val="000000"/>
          <w:sz w:val="24"/>
          <w:szCs w:val="24"/>
        </w:rPr>
        <w:t>乙方向甲方支付押金_______元整。</w:t>
      </w:r>
      <w:r>
        <w:rPr>
          <w:rFonts w:hint="eastAsia" w:ascii="宋体" w:hAnsi="宋体" w:eastAsia="宋体"/>
          <w:sz w:val="24"/>
        </w:rPr>
        <w:t>甲乙双方同意，押金可用于抵扣最后一年的租金，</w:t>
      </w:r>
      <w:r>
        <w:rPr>
          <w:rFonts w:hint="eastAsia" w:ascii="宋体" w:hAnsi="宋体" w:eastAsia="宋体"/>
          <w:bCs/>
          <w:color w:val="000000"/>
          <w:sz w:val="24"/>
          <w:szCs w:val="24"/>
        </w:rPr>
        <w:t>乙方正常履约，合同期满后，甲方</w:t>
      </w:r>
      <w:r>
        <w:rPr>
          <w:rFonts w:hint="eastAsia" w:ascii="宋体" w:hAnsi="宋体" w:eastAsia="宋体"/>
          <w:sz w:val="24"/>
        </w:rPr>
        <w:t>将剩余押金（扣除最后一年租金）</w:t>
      </w:r>
      <w:r>
        <w:rPr>
          <w:rFonts w:hint="eastAsia" w:ascii="宋体" w:hAnsi="宋体" w:eastAsia="宋体"/>
          <w:bCs/>
          <w:color w:val="000000"/>
          <w:sz w:val="24"/>
          <w:szCs w:val="24"/>
        </w:rPr>
        <w:t>不计息返还给乙方；乙方未按照合同约定履约的，甲方有权将押金作为违约金进行扣留。</w:t>
      </w:r>
    </w:p>
    <w:p w14:paraId="029B8BC8">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第五条  甲方的声明与保证</w:t>
      </w:r>
    </w:p>
    <w:p w14:paraId="4C54C3A2">
      <w:pPr>
        <w:tabs>
          <w:tab w:val="left" w:pos="1620"/>
        </w:tabs>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1、甲方对本合同下的流转标的拥有合法、有效和完整的处分权；</w:t>
      </w:r>
    </w:p>
    <w:p w14:paraId="086811E3">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2、为签订本合同之目的向乙方及</w:t>
      </w:r>
      <w:r>
        <w:rPr>
          <w:rFonts w:hint="eastAsia" w:ascii="宋体" w:hAnsi="宋体" w:eastAsia="宋体"/>
          <w:color w:val="000000"/>
          <w:sz w:val="24"/>
          <w:szCs w:val="28"/>
          <w:lang w:eastAsia="zh-CN"/>
        </w:rPr>
        <w:t>袁州区</w:t>
      </w:r>
      <w:r>
        <w:rPr>
          <w:rFonts w:hint="eastAsia" w:ascii="宋体" w:hAnsi="宋体" w:eastAsia="宋体"/>
          <w:color w:val="000000"/>
          <w:sz w:val="24"/>
          <w:szCs w:val="28"/>
        </w:rPr>
        <w:t>农村产权交易中心提交的各项证明文件及资料均为真实、完整、合法、有效，甲方对所提供材料与标的资产真实情况的一致性负责，并承担因隐瞒、虚报所引起的一切法律责任；</w:t>
      </w:r>
    </w:p>
    <w:p w14:paraId="55E322C6">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3、签订本合同所需的包括但不限于授权、审批、内部决策、备案等在内的一切手续均已合法有效取得，本合同成立和标的资产流转的前提条件均已满足；</w:t>
      </w:r>
    </w:p>
    <w:p w14:paraId="4E635766">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4、流转标的未设置任何可能影响产权流转的担保或限制，或就流转标的上设置的可能影响标的资产流转的任何担保或限制，甲方已取得有关权利人的同意或认可。</w:t>
      </w:r>
    </w:p>
    <w:p w14:paraId="0B939835">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第六条   乙方的声明与保证</w:t>
      </w:r>
    </w:p>
    <w:p w14:paraId="01B1D8BD">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1、乙方受让本合同项下流转标的符合法律、法规、规章、规范性文件和政策的规定，并不违背中国境内的产业政策；</w:t>
      </w:r>
    </w:p>
    <w:p w14:paraId="18331ABA">
      <w:pPr>
        <w:spacing w:line="520" w:lineRule="exact"/>
        <w:ind w:firstLine="480" w:firstLineChars="200"/>
        <w:rPr>
          <w:rFonts w:ascii="宋体" w:hAnsi="宋体" w:eastAsia="宋体"/>
          <w:b/>
          <w:bCs/>
          <w:color w:val="000000"/>
          <w:sz w:val="24"/>
          <w:szCs w:val="28"/>
        </w:rPr>
      </w:pPr>
      <w:r>
        <w:rPr>
          <w:rFonts w:hint="eastAsia" w:ascii="宋体" w:hAnsi="宋体" w:eastAsia="宋体"/>
          <w:color w:val="000000"/>
          <w:sz w:val="24"/>
          <w:szCs w:val="28"/>
        </w:rPr>
        <w:t>2、为签订本合同之目的向甲方及</w:t>
      </w:r>
      <w:r>
        <w:rPr>
          <w:rFonts w:hint="eastAsia" w:ascii="宋体" w:hAnsi="宋体" w:eastAsia="宋体"/>
          <w:color w:val="000000"/>
          <w:sz w:val="24"/>
          <w:szCs w:val="28"/>
          <w:lang w:eastAsia="zh-CN"/>
        </w:rPr>
        <w:t>袁州区</w:t>
      </w:r>
      <w:r>
        <w:rPr>
          <w:rFonts w:hint="eastAsia" w:ascii="宋体" w:hAnsi="宋体" w:eastAsia="宋体"/>
          <w:color w:val="000000"/>
          <w:sz w:val="24"/>
          <w:szCs w:val="28"/>
        </w:rPr>
        <w:t>农村产权交易中心提交的各项证明文件及资料均为真实、完整的；</w:t>
      </w:r>
    </w:p>
    <w:p w14:paraId="7D3C86CE">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3、签订本合同所需的包括但不限于授权、审批、内部决策等在内的一切批准手续均已合法有效取得，本合同成立和受让标的资产的前提条件均已满足。</w:t>
      </w:r>
    </w:p>
    <w:p w14:paraId="7FA76969">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第七条   违约责任</w:t>
      </w:r>
    </w:p>
    <w:p w14:paraId="0A8DA508">
      <w:pPr>
        <w:spacing w:line="520" w:lineRule="exact"/>
        <w:ind w:firstLine="480" w:firstLineChars="200"/>
        <w:rPr>
          <w:rFonts w:hint="eastAsia" w:ascii="宋体" w:hAnsi="宋体" w:eastAsia="宋体"/>
          <w:color w:val="000000"/>
          <w:sz w:val="24"/>
          <w:szCs w:val="28"/>
          <w:lang w:val="en-US" w:eastAsia="zh-CN"/>
        </w:rPr>
      </w:pPr>
      <w:r>
        <w:rPr>
          <w:rFonts w:hint="eastAsia" w:ascii="宋体" w:hAnsi="宋体" w:eastAsia="宋体"/>
          <w:color w:val="000000"/>
          <w:sz w:val="24"/>
          <w:szCs w:val="28"/>
        </w:rPr>
        <w:t>1、因变更或解除本合同使一方遭受损失的，除依法可免除责任外，应由责任方负责赔偿。</w:t>
      </w:r>
      <w:r>
        <w:rPr>
          <w:rFonts w:hint="eastAsia" w:ascii="宋体" w:hAnsi="宋体" w:eastAsia="宋体"/>
          <w:color w:val="000000"/>
          <w:sz w:val="24"/>
          <w:szCs w:val="28"/>
          <w:lang w:val="en-US" w:eastAsia="zh-CN"/>
        </w:rPr>
        <w:t xml:space="preserve"> </w:t>
      </w:r>
    </w:p>
    <w:p w14:paraId="73BF3668">
      <w:pPr>
        <w:spacing w:line="520" w:lineRule="exact"/>
        <w:ind w:firstLine="480" w:firstLineChars="200"/>
        <w:rPr>
          <w:rFonts w:ascii="宋体" w:hAnsi="宋体" w:eastAsia="宋体"/>
          <w:color w:val="000000"/>
          <w:sz w:val="24"/>
          <w:szCs w:val="28"/>
        </w:rPr>
      </w:pPr>
      <w:r>
        <w:rPr>
          <w:rFonts w:ascii="宋体" w:hAnsi="宋体" w:eastAsia="宋体"/>
          <w:color w:val="000000"/>
          <w:sz w:val="24"/>
          <w:szCs w:val="28"/>
        </w:rPr>
        <w:t>2</w:t>
      </w:r>
      <w:r>
        <w:rPr>
          <w:rFonts w:hint="eastAsia" w:ascii="宋体" w:hAnsi="宋体" w:eastAsia="宋体"/>
          <w:color w:val="000000"/>
          <w:sz w:val="24"/>
          <w:szCs w:val="28"/>
        </w:rPr>
        <w:t>、甲方非法干预乙方生产经营活动，给乙方造成损失的，应予以赔偿。</w:t>
      </w:r>
    </w:p>
    <w:p w14:paraId="2A09FA3E">
      <w:pPr>
        <w:spacing w:line="520" w:lineRule="exact"/>
        <w:ind w:firstLine="480" w:firstLineChars="200"/>
        <w:rPr>
          <w:rFonts w:ascii="宋体" w:hAnsi="宋体" w:eastAsia="宋体"/>
          <w:color w:val="000000"/>
          <w:sz w:val="24"/>
          <w:szCs w:val="28"/>
        </w:rPr>
      </w:pPr>
      <w:r>
        <w:rPr>
          <w:rFonts w:ascii="宋体" w:hAnsi="宋体" w:eastAsia="宋体"/>
          <w:color w:val="000000"/>
          <w:sz w:val="24"/>
          <w:szCs w:val="28"/>
        </w:rPr>
        <w:t>3</w:t>
      </w:r>
      <w:r>
        <w:rPr>
          <w:rFonts w:hint="eastAsia" w:ascii="宋体" w:hAnsi="宋体" w:eastAsia="宋体"/>
          <w:color w:val="000000"/>
          <w:sz w:val="24"/>
          <w:szCs w:val="28"/>
        </w:rPr>
        <w:t>、乙方逾期支付流转费，每延迟一天，按应支付费用的</w:t>
      </w:r>
      <w:r>
        <w:rPr>
          <w:rFonts w:ascii="宋体" w:hAnsi="宋体" w:eastAsia="宋体"/>
          <w:color w:val="000000"/>
          <w:sz w:val="24"/>
          <w:szCs w:val="28"/>
        </w:rPr>
        <w:t>__%</w:t>
      </w:r>
      <w:r>
        <w:rPr>
          <w:rFonts w:hint="eastAsia" w:ascii="宋体" w:hAnsi="宋体" w:eastAsia="宋体"/>
          <w:color w:val="000000"/>
          <w:sz w:val="24"/>
          <w:szCs w:val="28"/>
        </w:rPr>
        <w:t>承担违约金，预期超过</w:t>
      </w:r>
      <w:r>
        <w:rPr>
          <w:rFonts w:ascii="宋体" w:hAnsi="宋体" w:eastAsia="宋体"/>
          <w:color w:val="000000"/>
          <w:sz w:val="24"/>
          <w:szCs w:val="28"/>
        </w:rPr>
        <w:t>__</w:t>
      </w:r>
      <w:r>
        <w:rPr>
          <w:rFonts w:hint="eastAsia" w:ascii="宋体" w:hAnsi="宋体" w:eastAsia="宋体"/>
          <w:color w:val="000000"/>
          <w:sz w:val="24"/>
          <w:szCs w:val="28"/>
        </w:rPr>
        <w:t>天，甲方有权无偿收回乙方流转的此标的，终止合同。</w:t>
      </w:r>
    </w:p>
    <w:p w14:paraId="4431645D">
      <w:pPr>
        <w:spacing w:line="520" w:lineRule="exact"/>
        <w:ind w:firstLine="480" w:firstLineChars="200"/>
        <w:rPr>
          <w:rFonts w:ascii="宋体" w:hAnsi="宋体" w:eastAsia="宋体"/>
          <w:color w:val="000000"/>
          <w:sz w:val="24"/>
          <w:szCs w:val="28"/>
        </w:rPr>
      </w:pPr>
      <w:r>
        <w:rPr>
          <w:rFonts w:ascii="宋体" w:hAnsi="宋体" w:eastAsia="宋体"/>
          <w:color w:val="000000"/>
          <w:sz w:val="24"/>
          <w:szCs w:val="28"/>
        </w:rPr>
        <w:t>5</w:t>
      </w:r>
      <w:r>
        <w:rPr>
          <w:rFonts w:hint="eastAsia" w:ascii="宋体" w:hAnsi="宋体" w:eastAsia="宋体"/>
          <w:color w:val="000000"/>
          <w:sz w:val="24"/>
          <w:szCs w:val="28"/>
        </w:rPr>
        <w:t>、甲乙双方任何一方违反合同约定，均应向守约方偿付违约金人民币（大写）</w:t>
      </w:r>
      <w:r>
        <w:rPr>
          <w:rFonts w:ascii="宋体" w:hAnsi="宋体" w:eastAsia="宋体"/>
          <w:color w:val="000000"/>
          <w:sz w:val="24"/>
          <w:szCs w:val="28"/>
        </w:rPr>
        <w:t>_________</w:t>
      </w:r>
      <w:r>
        <w:rPr>
          <w:rFonts w:hint="eastAsia" w:ascii="宋体" w:hAnsi="宋体" w:eastAsia="宋体"/>
          <w:color w:val="000000"/>
          <w:sz w:val="24"/>
          <w:szCs w:val="28"/>
        </w:rPr>
        <w:t>万元整（</w:t>
      </w:r>
      <w:r>
        <w:rPr>
          <w:rFonts w:ascii="宋体" w:hAnsi="宋体" w:eastAsia="宋体"/>
          <w:color w:val="000000"/>
          <w:sz w:val="24"/>
          <w:szCs w:val="28"/>
        </w:rPr>
        <w:t>¥</w:t>
      </w:r>
      <w:r>
        <w:rPr>
          <w:rFonts w:hint="eastAsia" w:ascii="宋体" w:hAnsi="宋体" w:eastAsia="宋体"/>
          <w:color w:val="000000"/>
          <w:sz w:val="24"/>
          <w:szCs w:val="28"/>
        </w:rPr>
        <w:t>：</w:t>
      </w:r>
      <w:r>
        <w:rPr>
          <w:rFonts w:ascii="宋体" w:hAnsi="宋体" w:eastAsia="宋体"/>
          <w:color w:val="000000"/>
          <w:sz w:val="24"/>
          <w:szCs w:val="28"/>
        </w:rPr>
        <w:t>__________</w:t>
      </w:r>
      <w:r>
        <w:rPr>
          <w:rFonts w:hint="eastAsia" w:ascii="宋体" w:hAnsi="宋体" w:eastAsia="宋体"/>
          <w:color w:val="000000"/>
          <w:sz w:val="24"/>
          <w:szCs w:val="28"/>
        </w:rPr>
        <w:t>元），违约金不足以弥补对方实际损失的，守约方享有继续追索赔偿的权利。</w:t>
      </w:r>
    </w:p>
    <w:p w14:paraId="52B718CB">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第八条   合同的变更和解除、续约</w:t>
      </w:r>
    </w:p>
    <w:p w14:paraId="2069BA0C">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1、当事人双方协商一致，可以变更或解除本合同。</w:t>
      </w:r>
    </w:p>
    <w:p w14:paraId="79711D2A">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2、发生下列情况之一时，一方可以解除本合同：</w:t>
      </w:r>
    </w:p>
    <w:p w14:paraId="680311B4">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（1）由于不可抗力或不可归责于双方的原因致使本合同的目的无法实现的；</w:t>
      </w:r>
    </w:p>
    <w:p w14:paraId="44466EE6">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（2）另一方丧失实际履约能力的；</w:t>
      </w:r>
    </w:p>
    <w:p w14:paraId="01D629C3">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（3）另一方严重违约致使不能实现合同目的的；</w:t>
      </w:r>
    </w:p>
    <w:p w14:paraId="12413AA0">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（4）另一方出现本合同第八条所述违约情形的。</w:t>
      </w:r>
    </w:p>
    <w:p w14:paraId="68F7ABE5">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3、</w:t>
      </w:r>
      <w:r>
        <w:rPr>
          <w:rFonts w:hint="eastAsia" w:ascii="宋体" w:hAnsi="宋体" w:eastAsia="宋体"/>
          <w:sz w:val="24"/>
          <w:szCs w:val="28"/>
        </w:rPr>
        <w:t>合同到期前六个月，如双方未就续约事宜达成书面协议，则甲方可另行挂牌流转，若甲方与新的受让方达成流转协议，则乙方应在本合同到期时交还标的资产，不得妨碍新的受让方使用。合同到期时，乙方应及时拆除己方购置和投入建设的地上设施及附着物，恢复原貌。否则，地上设施及附着物无偿归甲方所有。</w:t>
      </w:r>
      <w:r>
        <w:rPr>
          <w:rFonts w:hint="eastAsia" w:ascii="宋体" w:hAnsi="宋体" w:eastAsia="宋体"/>
          <w:color w:val="000000"/>
          <w:sz w:val="24"/>
          <w:szCs w:val="28"/>
        </w:rPr>
        <w:t>采取转让方式时不适用此款约定。</w:t>
      </w:r>
    </w:p>
    <w:p w14:paraId="6EC98717">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第九条   管辖及争议解决方式</w:t>
      </w:r>
    </w:p>
    <w:p w14:paraId="448FFB4D">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有关本合同的解释或履行，当事人之间发生争议的，应由双方协商解决；协商解决不成的，按下列方式解决：</w:t>
      </w:r>
    </w:p>
    <w:p w14:paraId="30F46B97">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（1）提交仲裁委员会仲裁；</w:t>
      </w:r>
    </w:p>
    <w:p w14:paraId="0479F9A6">
      <w:pPr>
        <w:spacing w:line="520" w:lineRule="exact"/>
        <w:ind w:firstLine="480" w:firstLineChars="200"/>
        <w:rPr>
          <w:rFonts w:ascii="宋体" w:hAnsi="宋体" w:eastAsia="宋体"/>
          <w:color w:val="000000"/>
          <w:sz w:val="24"/>
          <w:szCs w:val="28"/>
        </w:rPr>
      </w:pPr>
      <w:r>
        <w:rPr>
          <w:rFonts w:hint="eastAsia" w:ascii="宋体" w:hAnsi="宋体" w:eastAsia="宋体"/>
          <w:color w:val="000000"/>
          <w:sz w:val="24"/>
          <w:szCs w:val="28"/>
        </w:rPr>
        <w:t>（2）依法向人民法院起诉。</w:t>
      </w:r>
    </w:p>
    <w:p w14:paraId="288F95F2">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第十条   合同的生效</w:t>
      </w:r>
    </w:p>
    <w:p w14:paraId="3772D0A5">
      <w:pPr>
        <w:spacing w:line="520" w:lineRule="exact"/>
        <w:ind w:firstLine="480" w:firstLineChars="200"/>
        <w:rPr>
          <w:rFonts w:ascii="宋体" w:hAnsi="宋体" w:eastAsia="宋体"/>
          <w:sz w:val="24"/>
          <w:szCs w:val="28"/>
        </w:rPr>
      </w:pPr>
      <w:r>
        <w:rPr>
          <w:rFonts w:hint="eastAsia" w:ascii="宋体" w:hAnsi="宋体" w:eastAsia="宋体"/>
          <w:sz w:val="24"/>
          <w:szCs w:val="28"/>
        </w:rPr>
        <w:t>本合同自甲乙双方授权代表签字或盖章，并依法律、行政法规规定报审批机构批准，资产所有权权属方盖章后生效。</w:t>
      </w:r>
    </w:p>
    <w:p w14:paraId="0D7B3714">
      <w:pPr>
        <w:keepNext w:val="0"/>
        <w:keepLines w:val="0"/>
        <w:pageBreakBefore w:val="0"/>
        <w:widowControl w:val="0"/>
        <w:kinsoku/>
        <w:wordWrap/>
        <w:overflowPunct/>
        <w:topLinePunct w:val="0"/>
        <w:autoSpaceDE/>
        <w:autoSpaceDN/>
        <w:bidi w:val="0"/>
        <w:adjustRightInd/>
        <w:snapToGrid/>
        <w:spacing w:before="313" w:beforeLines="100" w:line="520" w:lineRule="exact"/>
        <w:ind w:firstLine="482" w:firstLineChars="200"/>
        <w:jc w:val="left"/>
        <w:textAlignment w:val="auto"/>
        <w:rPr>
          <w:rFonts w:hint="eastAsia" w:ascii="宋体" w:hAnsi="宋体" w:eastAsia="宋体"/>
          <w:b/>
          <w:bCs/>
          <w:color w:val="000000"/>
          <w:sz w:val="24"/>
          <w:szCs w:val="24"/>
        </w:rPr>
      </w:pPr>
      <w:r>
        <w:rPr>
          <w:rFonts w:hint="eastAsia" w:ascii="宋体" w:hAnsi="宋体" w:eastAsia="宋体"/>
          <w:b/>
          <w:bCs/>
          <w:color w:val="000000"/>
          <w:sz w:val="24"/>
          <w:szCs w:val="24"/>
        </w:rPr>
        <w:t>第十一条   其他</w:t>
      </w:r>
    </w:p>
    <w:p w14:paraId="7D3A402D">
      <w:pPr>
        <w:spacing w:line="520" w:lineRule="exact"/>
        <w:ind w:firstLine="480" w:firstLineChars="200"/>
        <w:jc w:val="left"/>
        <w:rPr>
          <w:rFonts w:ascii="宋体" w:hAnsi="宋体" w:eastAsia="宋体" w:cs="Times New Roman"/>
          <w:color w:val="000000"/>
          <w:sz w:val="24"/>
          <w:szCs w:val="28"/>
        </w:rPr>
      </w:pPr>
      <w:r>
        <w:rPr>
          <w:rFonts w:hint="eastAsia" w:ascii="宋体" w:hAnsi="宋体" w:eastAsia="宋体" w:cs="Times New Roman"/>
          <w:color w:val="000000"/>
          <w:sz w:val="24"/>
          <w:szCs w:val="28"/>
        </w:rPr>
        <w:t>1、双方对本合同内容的变更或补充应采用书面形式订立，并作为本合同的附件。本合同的附件与本合同具有同等的法律效力。</w:t>
      </w:r>
    </w:p>
    <w:p w14:paraId="20E1E735">
      <w:pPr>
        <w:ind w:firstLine="360" w:firstLineChars="150"/>
        <w:jc w:val="left"/>
        <w:rPr>
          <w:rFonts w:ascii="宋体" w:hAnsi="宋体"/>
          <w:color w:val="000000"/>
          <w:szCs w:val="28"/>
        </w:rPr>
      </w:pPr>
      <w:r>
        <w:rPr>
          <w:rFonts w:hint="eastAsia" w:ascii="宋体" w:hAnsi="宋体" w:eastAsia="宋体" w:cs="Times New Roman"/>
          <w:color w:val="000000"/>
          <w:sz w:val="24"/>
          <w:szCs w:val="28"/>
        </w:rPr>
        <w:t>2、本合同一式</w:t>
      </w:r>
      <w:r>
        <w:rPr>
          <w:rFonts w:hint="eastAsia" w:ascii="宋体" w:hAnsi="宋体" w:eastAsia="宋体" w:cs="Times New Roman"/>
          <w:color w:val="000000"/>
          <w:sz w:val="24"/>
          <w:szCs w:val="28"/>
          <w:lang w:val="en-US" w:eastAsia="zh-CN"/>
        </w:rPr>
        <w:t>肆</w:t>
      </w:r>
      <w:r>
        <w:rPr>
          <w:rFonts w:hint="eastAsia" w:ascii="宋体" w:hAnsi="宋体" w:eastAsia="宋体" w:cs="Times New Roman"/>
          <w:color w:val="000000"/>
          <w:sz w:val="24"/>
          <w:szCs w:val="28"/>
        </w:rPr>
        <w:t>份，甲、乙双方各执壹份，</w:t>
      </w:r>
      <w:r>
        <w:rPr>
          <w:rFonts w:hint="eastAsia" w:ascii="宋体" w:hAnsi="宋体" w:eastAsia="宋体" w:cs="Times New Roman"/>
          <w:color w:val="000000"/>
          <w:sz w:val="24"/>
          <w:szCs w:val="28"/>
          <w:lang w:eastAsia="zh-CN"/>
        </w:rPr>
        <w:t>袁州区</w:t>
      </w:r>
      <w:r>
        <w:rPr>
          <w:rFonts w:hint="eastAsia" w:ascii="宋体" w:hAnsi="宋体" w:eastAsia="宋体" w:cs="Times New Roman"/>
          <w:color w:val="000000"/>
          <w:sz w:val="24"/>
          <w:szCs w:val="28"/>
        </w:rPr>
        <w:t>农村产权交易中心、</w:t>
      </w:r>
      <w:r>
        <w:rPr>
          <w:rFonts w:hint="eastAsia" w:ascii="宋体" w:hAnsi="宋体" w:cs="宋体"/>
          <w:color w:val="000000"/>
          <w:sz w:val="24"/>
        </w:rPr>
        <w:t>乡</w:t>
      </w:r>
      <w:r>
        <w:rPr>
          <w:rFonts w:hint="eastAsia" w:ascii="宋体" w:hAnsi="宋体" w:cs="宋体"/>
          <w:color w:val="000000"/>
          <w:sz w:val="24"/>
          <w:lang w:val="en-US" w:eastAsia="zh-CN"/>
        </w:rPr>
        <w:t>镇</w:t>
      </w:r>
      <w:r>
        <w:rPr>
          <w:rFonts w:hint="eastAsia" w:ascii="宋体" w:hAnsi="宋体" w:cs="宋体"/>
          <w:color w:val="000000"/>
          <w:sz w:val="24"/>
          <w:lang w:eastAsia="zh-CN"/>
        </w:rPr>
        <w:t>（</w:t>
      </w:r>
      <w:r>
        <w:rPr>
          <w:rFonts w:hint="eastAsia" w:ascii="宋体" w:hAnsi="宋体" w:cs="宋体"/>
          <w:color w:val="000000"/>
          <w:sz w:val="24"/>
        </w:rPr>
        <w:t>街道）</w:t>
      </w:r>
      <w:r>
        <w:rPr>
          <w:rFonts w:hint="eastAsia" w:ascii="宋体" w:hAnsi="宋体" w:eastAsia="宋体" w:cs="宋体"/>
          <w:color w:val="000000"/>
          <w:sz w:val="24"/>
          <w:lang w:val="en-US" w:eastAsia="zh-CN"/>
        </w:rPr>
        <w:t>主管</w:t>
      </w:r>
      <w:r>
        <w:rPr>
          <w:rFonts w:hint="eastAsia" w:ascii="宋体" w:hAnsi="宋体" w:eastAsia="宋体" w:cs="宋体"/>
          <w:color w:val="000000"/>
          <w:sz w:val="24"/>
        </w:rPr>
        <w:t>部门</w:t>
      </w:r>
      <w:r>
        <w:rPr>
          <w:rFonts w:hint="eastAsia" w:ascii="宋体" w:hAnsi="宋体" w:eastAsia="宋体" w:cs="Times New Roman"/>
          <w:color w:val="000000"/>
          <w:sz w:val="24"/>
          <w:szCs w:val="28"/>
        </w:rPr>
        <w:t>各留存壹份用于备案。</w:t>
      </w:r>
    </w:p>
    <w:p w14:paraId="23ECF3B5">
      <w:pPr>
        <w:spacing w:line="520" w:lineRule="exact"/>
        <w:ind w:firstLine="480" w:firstLineChars="200"/>
        <w:jc w:val="left"/>
        <w:rPr>
          <w:rFonts w:ascii="宋体" w:hAnsi="宋体" w:eastAsia="宋体" w:cs="Times New Roman"/>
          <w:color w:val="000000"/>
          <w:sz w:val="24"/>
          <w:szCs w:val="28"/>
        </w:rPr>
      </w:pPr>
    </w:p>
    <w:p w14:paraId="5012192E">
      <w:pPr>
        <w:jc w:val="left"/>
        <w:rPr>
          <w:rFonts w:ascii="宋体" w:hAnsi="宋体"/>
          <w:color w:val="000000"/>
          <w:sz w:val="24"/>
          <w:szCs w:val="28"/>
        </w:rPr>
      </w:pPr>
    </w:p>
    <w:tbl>
      <w:tblPr>
        <w:tblStyle w:val="7"/>
        <w:tblW w:w="8856" w:type="dxa"/>
        <w:tblInd w:w="0" w:type="dxa"/>
        <w:tblLayout w:type="fixed"/>
        <w:tblCellMar>
          <w:top w:w="0" w:type="dxa"/>
          <w:left w:w="108" w:type="dxa"/>
          <w:bottom w:w="0" w:type="dxa"/>
          <w:right w:w="108" w:type="dxa"/>
        </w:tblCellMar>
      </w:tblPr>
      <w:tblGrid>
        <w:gridCol w:w="4428"/>
        <w:gridCol w:w="4428"/>
      </w:tblGrid>
      <w:tr w14:paraId="259A4592">
        <w:tblPrEx>
          <w:tblCellMar>
            <w:top w:w="0" w:type="dxa"/>
            <w:left w:w="108" w:type="dxa"/>
            <w:bottom w:w="0" w:type="dxa"/>
            <w:right w:w="108" w:type="dxa"/>
          </w:tblCellMar>
        </w:tblPrEx>
        <w:trPr>
          <w:trHeight w:val="1094" w:hRule="atLeast"/>
        </w:trPr>
        <w:tc>
          <w:tcPr>
            <w:tcW w:w="4428" w:type="dxa"/>
          </w:tcPr>
          <w:p w14:paraId="3915633E">
            <w:pPr>
              <w:jc w:val="left"/>
              <w:rPr>
                <w:rFonts w:ascii="宋体" w:hAnsi="宋体" w:eastAsia="宋体"/>
                <w:color w:val="000000"/>
                <w:sz w:val="24"/>
              </w:rPr>
            </w:pPr>
            <w:r>
              <w:rPr>
                <w:rFonts w:hint="eastAsia" w:ascii="宋体" w:hAnsi="宋体" w:eastAsia="宋体"/>
                <w:color w:val="000000"/>
                <w:sz w:val="24"/>
              </w:rPr>
              <w:t>甲方（盖章/签字）：</w:t>
            </w:r>
          </w:p>
          <w:p w14:paraId="22C9D297">
            <w:pPr>
              <w:jc w:val="left"/>
              <w:rPr>
                <w:rFonts w:ascii="宋体" w:hAnsi="宋体" w:eastAsia="宋体"/>
                <w:color w:val="000000"/>
                <w:sz w:val="24"/>
              </w:rPr>
            </w:pPr>
            <w:r>
              <w:rPr>
                <w:rFonts w:ascii="宋体" w:hAnsi="宋体" w:eastAsia="宋体"/>
                <w:color w:val="000000"/>
                <w:sz w:val="24"/>
              </w:rPr>
              <w:t xml:space="preserve"> </w:t>
            </w:r>
          </w:p>
          <w:p w14:paraId="081222E5">
            <w:pPr>
              <w:jc w:val="left"/>
              <w:rPr>
                <w:rFonts w:ascii="宋体" w:hAnsi="宋体" w:eastAsia="宋体"/>
                <w:color w:val="000000"/>
                <w:sz w:val="24"/>
              </w:rPr>
            </w:pPr>
          </w:p>
        </w:tc>
        <w:tc>
          <w:tcPr>
            <w:tcW w:w="4428" w:type="dxa"/>
          </w:tcPr>
          <w:p w14:paraId="32DE3833">
            <w:pPr>
              <w:jc w:val="left"/>
              <w:rPr>
                <w:rFonts w:ascii="宋体" w:hAnsi="宋体" w:eastAsia="宋体"/>
                <w:color w:val="000000"/>
                <w:sz w:val="24"/>
              </w:rPr>
            </w:pPr>
            <w:r>
              <w:rPr>
                <w:rFonts w:hint="eastAsia" w:ascii="宋体" w:hAnsi="宋体" w:eastAsia="宋体"/>
                <w:color w:val="000000"/>
                <w:sz w:val="24"/>
              </w:rPr>
              <w:t>乙方（盖章/签字）：</w:t>
            </w:r>
          </w:p>
        </w:tc>
      </w:tr>
      <w:tr w14:paraId="36DF2583">
        <w:tblPrEx>
          <w:tblCellMar>
            <w:top w:w="0" w:type="dxa"/>
            <w:left w:w="108" w:type="dxa"/>
            <w:bottom w:w="0" w:type="dxa"/>
            <w:right w:w="108" w:type="dxa"/>
          </w:tblCellMar>
        </w:tblPrEx>
        <w:tc>
          <w:tcPr>
            <w:tcW w:w="4428" w:type="dxa"/>
          </w:tcPr>
          <w:p w14:paraId="62A6CDAE">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委托代理人（签字）：</w:t>
            </w:r>
          </w:p>
        </w:tc>
        <w:tc>
          <w:tcPr>
            <w:tcW w:w="4428" w:type="dxa"/>
          </w:tcPr>
          <w:p w14:paraId="6731058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委托代理人（签字）：</w:t>
            </w:r>
          </w:p>
        </w:tc>
      </w:tr>
      <w:tr w14:paraId="384DA97E">
        <w:tblPrEx>
          <w:tblCellMar>
            <w:top w:w="0" w:type="dxa"/>
            <w:left w:w="108" w:type="dxa"/>
            <w:bottom w:w="0" w:type="dxa"/>
            <w:right w:w="108" w:type="dxa"/>
          </w:tblCellMar>
        </w:tblPrEx>
        <w:tc>
          <w:tcPr>
            <w:tcW w:w="4428" w:type="dxa"/>
          </w:tcPr>
          <w:p w14:paraId="4CCF435E">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身份证号：</w:t>
            </w:r>
          </w:p>
        </w:tc>
        <w:tc>
          <w:tcPr>
            <w:tcW w:w="4428" w:type="dxa"/>
          </w:tcPr>
          <w:p w14:paraId="1D0B5A81">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身份证号：</w:t>
            </w:r>
          </w:p>
        </w:tc>
      </w:tr>
      <w:tr w14:paraId="7A6BBBB8">
        <w:tblPrEx>
          <w:tblCellMar>
            <w:top w:w="0" w:type="dxa"/>
            <w:left w:w="108" w:type="dxa"/>
            <w:bottom w:w="0" w:type="dxa"/>
            <w:right w:w="108" w:type="dxa"/>
          </w:tblCellMar>
        </w:tblPrEx>
        <w:tc>
          <w:tcPr>
            <w:tcW w:w="4428" w:type="dxa"/>
          </w:tcPr>
          <w:p w14:paraId="03BE88E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联系电话：</w:t>
            </w:r>
          </w:p>
        </w:tc>
        <w:tc>
          <w:tcPr>
            <w:tcW w:w="4428" w:type="dxa"/>
          </w:tcPr>
          <w:p w14:paraId="53F9A12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联系电话：</w:t>
            </w:r>
          </w:p>
        </w:tc>
      </w:tr>
      <w:tr w14:paraId="44EE81F0">
        <w:tblPrEx>
          <w:tblCellMar>
            <w:top w:w="0" w:type="dxa"/>
            <w:left w:w="108" w:type="dxa"/>
            <w:bottom w:w="0" w:type="dxa"/>
            <w:right w:w="108" w:type="dxa"/>
          </w:tblCellMar>
        </w:tblPrEx>
        <w:tc>
          <w:tcPr>
            <w:tcW w:w="4428" w:type="dxa"/>
          </w:tcPr>
          <w:p w14:paraId="2EBFEC8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地址:</w:t>
            </w:r>
          </w:p>
        </w:tc>
        <w:tc>
          <w:tcPr>
            <w:tcW w:w="4428" w:type="dxa"/>
          </w:tcPr>
          <w:p w14:paraId="0AB9D79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地址:</w:t>
            </w:r>
          </w:p>
        </w:tc>
      </w:tr>
      <w:tr w14:paraId="24F2139C">
        <w:tblPrEx>
          <w:tblCellMar>
            <w:top w:w="0" w:type="dxa"/>
            <w:left w:w="108" w:type="dxa"/>
            <w:bottom w:w="0" w:type="dxa"/>
            <w:right w:w="108" w:type="dxa"/>
          </w:tblCellMar>
        </w:tblPrEx>
        <w:tc>
          <w:tcPr>
            <w:tcW w:w="4428" w:type="dxa"/>
          </w:tcPr>
          <w:p w14:paraId="534BB4B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年   月   日</w:t>
            </w:r>
          </w:p>
        </w:tc>
        <w:tc>
          <w:tcPr>
            <w:tcW w:w="4428" w:type="dxa"/>
          </w:tcPr>
          <w:p w14:paraId="63483EE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年   月   日</w:t>
            </w:r>
          </w:p>
        </w:tc>
      </w:tr>
      <w:tr w14:paraId="2E997EC4">
        <w:tblPrEx>
          <w:tblCellMar>
            <w:top w:w="0" w:type="dxa"/>
            <w:left w:w="108" w:type="dxa"/>
            <w:bottom w:w="0" w:type="dxa"/>
            <w:right w:w="108" w:type="dxa"/>
          </w:tblCellMar>
        </w:tblPrEx>
        <w:trPr>
          <w:trHeight w:val="1589" w:hRule="atLeast"/>
        </w:trPr>
        <w:tc>
          <w:tcPr>
            <w:tcW w:w="4428" w:type="dxa"/>
          </w:tcPr>
          <w:p w14:paraId="5E358D72">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p>
          <w:p w14:paraId="018E727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p>
          <w:p w14:paraId="47B30FA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村委会（盖章）</w:t>
            </w:r>
          </w:p>
          <w:p w14:paraId="7934C089">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p>
          <w:p w14:paraId="116FCC2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eastAsia="宋体"/>
                <w:color w:val="000000"/>
                <w:sz w:val="24"/>
              </w:rPr>
              <w:t xml:space="preserve">                                                                     </w:t>
            </w:r>
          </w:p>
        </w:tc>
        <w:tc>
          <w:tcPr>
            <w:tcW w:w="4428" w:type="dxa"/>
          </w:tcPr>
          <w:p w14:paraId="17BFC60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p>
          <w:p w14:paraId="33E6801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p>
          <w:p w14:paraId="356CD5F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宋体" w:hAnsi="宋体" w:eastAsia="宋体"/>
                <w:color w:val="000000"/>
                <w:sz w:val="24"/>
              </w:rPr>
            </w:pPr>
            <w:r>
              <w:rPr>
                <w:rFonts w:hint="eastAsia" w:ascii="宋体" w:hAnsi="宋体" w:cs="宋体"/>
                <w:color w:val="000000"/>
                <w:sz w:val="24"/>
              </w:rPr>
              <w:t>乡</w:t>
            </w:r>
            <w:r>
              <w:rPr>
                <w:rFonts w:hint="eastAsia" w:ascii="宋体" w:hAnsi="宋体" w:cs="宋体"/>
                <w:color w:val="000000"/>
                <w:sz w:val="24"/>
                <w:lang w:val="en-US" w:eastAsia="zh-CN"/>
              </w:rPr>
              <w:t>镇</w:t>
            </w:r>
            <w:r>
              <w:rPr>
                <w:rFonts w:hint="eastAsia" w:ascii="宋体" w:hAnsi="宋体" w:cs="宋体"/>
                <w:color w:val="000000"/>
                <w:sz w:val="24"/>
                <w:lang w:eastAsia="zh-CN"/>
              </w:rPr>
              <w:t>（</w:t>
            </w:r>
            <w:r>
              <w:rPr>
                <w:rFonts w:hint="eastAsia" w:ascii="宋体" w:hAnsi="宋体" w:cs="宋体"/>
                <w:color w:val="000000"/>
                <w:sz w:val="24"/>
              </w:rPr>
              <w:t>街道）</w:t>
            </w:r>
            <w:r>
              <w:rPr>
                <w:rFonts w:hint="eastAsia" w:ascii="宋体" w:hAnsi="宋体" w:eastAsia="宋体"/>
                <w:color w:val="000000"/>
                <w:sz w:val="24"/>
              </w:rPr>
              <w:t>（盖章）</w:t>
            </w:r>
          </w:p>
        </w:tc>
      </w:tr>
    </w:tbl>
    <w:p w14:paraId="5484CE3D">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eastAsia="宋体" w:cs="仿宋_GB2312"/>
          <w:color w:val="000000"/>
          <w:sz w:val="24"/>
        </w:rPr>
      </w:pPr>
    </w:p>
    <w:p w14:paraId="0A2A9B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仿宋_GB2312"/>
          <w:color w:val="000000"/>
          <w:sz w:val="24"/>
        </w:rPr>
      </w:pPr>
    </w:p>
    <w:p w14:paraId="4824E9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仿宋_GB2312"/>
          <w:color w:val="000000"/>
          <w:sz w:val="24"/>
        </w:rPr>
      </w:pPr>
    </w:p>
    <w:p w14:paraId="068807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仿宋_GB2312"/>
          <w:color w:val="000000"/>
          <w:sz w:val="24"/>
        </w:rPr>
      </w:pPr>
    </w:p>
    <w:p w14:paraId="5FC1EE69">
      <w:pPr>
        <w:pStyle w:val="2"/>
        <w:rPr>
          <w:rFonts w:hint="eastAsia" w:ascii="宋体" w:hAnsi="宋体" w:eastAsia="宋体" w:cs="仿宋_GB2312"/>
          <w:color w:val="000000"/>
          <w:sz w:val="24"/>
        </w:rPr>
      </w:pPr>
    </w:p>
    <w:p w14:paraId="5E4B99B9">
      <w:pPr>
        <w:pStyle w:val="2"/>
        <w:rPr>
          <w:rFonts w:hint="eastAsia" w:ascii="宋体" w:hAnsi="宋体" w:eastAsia="宋体" w:cs="仿宋_GB2312"/>
          <w:color w:val="000000"/>
          <w:sz w:val="24"/>
        </w:rPr>
      </w:pPr>
    </w:p>
    <w:p w14:paraId="442BD5EC">
      <w:pPr>
        <w:pStyle w:val="2"/>
        <w:rPr>
          <w:rFonts w:hint="eastAsia" w:ascii="宋体" w:hAnsi="宋体" w:eastAsia="宋体" w:cs="仿宋_GB2312"/>
          <w:color w:val="000000"/>
          <w:sz w:val="24"/>
        </w:rPr>
      </w:pPr>
    </w:p>
    <w:p w14:paraId="28A6A147">
      <w:pPr>
        <w:pStyle w:val="2"/>
        <w:rPr>
          <w:rFonts w:hint="eastAsia" w:ascii="宋体" w:hAnsi="宋体" w:eastAsia="宋体" w:cs="仿宋_GB2312"/>
          <w:color w:val="000000"/>
          <w:sz w:val="24"/>
        </w:rPr>
      </w:pPr>
    </w:p>
    <w:p w14:paraId="4B62905A">
      <w:pPr>
        <w:pStyle w:val="2"/>
        <w:rPr>
          <w:rFonts w:hint="eastAsia" w:ascii="宋体" w:hAnsi="宋体" w:eastAsia="宋体" w:cs="仿宋_GB2312"/>
          <w:color w:val="000000"/>
          <w:sz w:val="24"/>
        </w:rPr>
      </w:pPr>
    </w:p>
    <w:p w14:paraId="5D283FEB">
      <w:pPr>
        <w:pStyle w:val="2"/>
        <w:rPr>
          <w:rFonts w:hint="eastAsia" w:ascii="宋体" w:hAnsi="宋体" w:eastAsia="宋体" w:cs="仿宋_GB2312"/>
          <w:color w:val="000000"/>
          <w:sz w:val="24"/>
        </w:rPr>
      </w:pPr>
    </w:p>
    <w:p w14:paraId="5C65CC6F">
      <w:pPr>
        <w:pStyle w:val="2"/>
        <w:rPr>
          <w:rFonts w:hint="eastAsia" w:ascii="宋体" w:hAnsi="宋体" w:eastAsia="宋体" w:cs="仿宋_GB2312"/>
          <w:color w:val="000000"/>
          <w:sz w:val="24"/>
        </w:rPr>
      </w:pPr>
    </w:p>
    <w:p w14:paraId="4DD41A60">
      <w:pPr>
        <w:pStyle w:val="2"/>
        <w:rPr>
          <w:rFonts w:hint="eastAsia" w:ascii="宋体" w:hAnsi="宋体" w:eastAsia="宋体" w:cs="仿宋_GB2312"/>
          <w:color w:val="000000"/>
          <w:sz w:val="24"/>
        </w:rPr>
      </w:pPr>
    </w:p>
    <w:p w14:paraId="4E6638A6">
      <w:pPr>
        <w:pStyle w:val="2"/>
        <w:rPr>
          <w:rFonts w:hint="eastAsia" w:ascii="宋体" w:hAnsi="宋体" w:eastAsia="宋体" w:cs="仿宋_GB2312"/>
          <w:color w:val="000000"/>
          <w:sz w:val="24"/>
        </w:rPr>
      </w:pPr>
    </w:p>
    <w:p w14:paraId="06BC1ECF">
      <w:pPr>
        <w:pStyle w:val="2"/>
        <w:rPr>
          <w:rFonts w:hint="eastAsia" w:ascii="宋体" w:hAnsi="宋体" w:eastAsia="宋体" w:cs="仿宋_GB2312"/>
          <w:color w:val="000000"/>
          <w:sz w:val="24"/>
        </w:rPr>
      </w:pPr>
    </w:p>
    <w:p w14:paraId="268F6F13">
      <w:pPr>
        <w:pStyle w:val="2"/>
        <w:rPr>
          <w:rFonts w:hint="eastAsia" w:ascii="宋体" w:hAnsi="宋体" w:eastAsia="宋体" w:cs="仿宋_GB2312"/>
          <w:color w:val="000000"/>
          <w:sz w:val="24"/>
        </w:rPr>
      </w:pPr>
    </w:p>
    <w:p w14:paraId="0349671C">
      <w:pPr>
        <w:pStyle w:val="2"/>
        <w:rPr>
          <w:rFonts w:hint="eastAsia" w:ascii="宋体" w:hAnsi="宋体" w:eastAsia="宋体" w:cs="仿宋_GB2312"/>
          <w:color w:val="000000"/>
          <w:sz w:val="24"/>
        </w:rPr>
      </w:pPr>
    </w:p>
    <w:p w14:paraId="7C6D4531">
      <w:pPr>
        <w:rPr>
          <w:rFonts w:hint="eastAsia" w:ascii="宋体" w:hAnsi="宋体" w:eastAsia="宋体" w:cs="仿宋_GB2312"/>
          <w:color w:val="000000"/>
          <w:sz w:val="24"/>
        </w:rPr>
      </w:pPr>
    </w:p>
    <w:p w14:paraId="2C08BE01">
      <w:pPr>
        <w:rPr>
          <w:rFonts w:hint="eastAsia" w:ascii="宋体" w:hAnsi="宋体" w:eastAsia="宋体" w:cs="仿宋_GB2312"/>
          <w:color w:val="000000"/>
          <w:sz w:val="24"/>
        </w:rPr>
      </w:pPr>
    </w:p>
    <w:p w14:paraId="6BA5AD71">
      <w:pPr>
        <w:rPr>
          <w:rFonts w:hint="eastAsia" w:ascii="宋体" w:hAnsi="宋体" w:eastAsia="宋体" w:cs="仿宋_GB2312"/>
          <w:color w:val="000000"/>
          <w:sz w:val="24"/>
        </w:rPr>
      </w:pPr>
    </w:p>
    <w:p w14:paraId="01BFAE97">
      <w:pPr>
        <w:rPr>
          <w:rFonts w:hint="eastAsia" w:ascii="宋体" w:hAnsi="宋体" w:eastAsia="宋体" w:cs="仿宋_GB2312"/>
          <w:color w:val="000000"/>
          <w:sz w:val="24"/>
        </w:rPr>
      </w:pPr>
    </w:p>
    <w:p w14:paraId="5259FA41">
      <w:pPr>
        <w:rPr>
          <w:rFonts w:hint="eastAsia" w:ascii="宋体" w:hAnsi="宋体" w:eastAsia="宋体" w:cs="仿宋_GB2312"/>
          <w:color w:val="000000"/>
          <w:sz w:val="24"/>
        </w:rPr>
      </w:pPr>
    </w:p>
    <w:p w14:paraId="4C63C639">
      <w:pPr>
        <w:rPr>
          <w:rFonts w:hint="eastAsia" w:ascii="宋体" w:hAnsi="宋体" w:eastAsia="宋体" w:cs="仿宋_GB2312"/>
          <w:color w:val="000000"/>
          <w:sz w:val="24"/>
        </w:rPr>
      </w:pPr>
    </w:p>
    <w:p w14:paraId="51EFF6BD">
      <w:pPr>
        <w:rPr>
          <w:rFonts w:ascii="宋体" w:hAnsi="宋体" w:eastAsia="宋体" w:cs="仿宋_GB2312"/>
          <w:color w:val="000000"/>
          <w:sz w:val="24"/>
        </w:rPr>
      </w:pPr>
      <w:r>
        <w:rPr>
          <w:rFonts w:hint="eastAsia" w:ascii="宋体" w:hAnsi="宋体" w:eastAsia="宋体" w:cs="仿宋_GB2312"/>
          <w:color w:val="000000"/>
          <w:sz w:val="24"/>
        </w:rPr>
        <w:t>附件1</w:t>
      </w:r>
    </w:p>
    <w:p w14:paraId="46A54546">
      <w:pPr>
        <w:jc w:val="center"/>
        <w:rPr>
          <w:rFonts w:ascii="仿宋_GB2312" w:hAnsi="仿宋_GB2312" w:eastAsia="仿宋_GB2312" w:cs="仿宋_GB2312"/>
          <w:b/>
          <w:color w:val="000000"/>
          <w:sz w:val="40"/>
          <w:szCs w:val="30"/>
        </w:rPr>
      </w:pPr>
      <w:r>
        <w:rPr>
          <w:rFonts w:hint="eastAsia" w:ascii="仿宋_GB2312" w:hAnsi="仿宋_GB2312" w:eastAsia="仿宋_GB2312" w:cs="仿宋_GB2312"/>
          <w:b/>
          <w:color w:val="000000"/>
          <w:sz w:val="40"/>
          <w:szCs w:val="30"/>
        </w:rPr>
        <w:t>标的基本情况表</w:t>
      </w:r>
    </w:p>
    <w:p w14:paraId="4F4ADEE4">
      <w:pPr>
        <w:pStyle w:val="6"/>
        <w:ind w:firstLine="560"/>
      </w:pPr>
    </w:p>
    <w:tbl>
      <w:tblPr>
        <w:tblStyle w:val="7"/>
        <w:tblW w:w="89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118"/>
        <w:gridCol w:w="5075"/>
      </w:tblGrid>
      <w:tr w14:paraId="2AC6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Align w:val="center"/>
          </w:tcPr>
          <w:p w14:paraId="2521386E">
            <w:pPr>
              <w:spacing w:line="600" w:lineRule="exact"/>
              <w:jc w:val="center"/>
              <w:rPr>
                <w:color w:val="000000"/>
                <w:sz w:val="24"/>
              </w:rPr>
            </w:pPr>
            <w:r>
              <w:rPr>
                <w:rFonts w:hint="eastAsia"/>
                <w:color w:val="000000"/>
                <w:sz w:val="24"/>
              </w:rPr>
              <w:t>序号</w:t>
            </w:r>
          </w:p>
        </w:tc>
        <w:tc>
          <w:tcPr>
            <w:tcW w:w="3118" w:type="dxa"/>
            <w:vAlign w:val="center"/>
          </w:tcPr>
          <w:p w14:paraId="1CA2B012">
            <w:pPr>
              <w:spacing w:line="600" w:lineRule="exact"/>
              <w:jc w:val="center"/>
              <w:rPr>
                <w:color w:val="000000"/>
                <w:sz w:val="24"/>
              </w:rPr>
            </w:pPr>
            <w:r>
              <w:rPr>
                <w:color w:val="000000"/>
                <w:sz w:val="24"/>
              </w:rPr>
              <w:t>地块名称</w:t>
            </w:r>
          </w:p>
        </w:tc>
        <w:tc>
          <w:tcPr>
            <w:tcW w:w="5075" w:type="dxa"/>
          </w:tcPr>
          <w:p w14:paraId="1B6832EC">
            <w:pPr>
              <w:spacing w:line="600" w:lineRule="exact"/>
              <w:rPr>
                <w:color w:val="000000"/>
                <w:sz w:val="24"/>
              </w:rPr>
            </w:pPr>
          </w:p>
          <w:p w14:paraId="17E6EFB1">
            <w:pPr>
              <w:spacing w:line="600" w:lineRule="exact"/>
              <w:jc w:val="center"/>
              <w:rPr>
                <w:color w:val="000000"/>
                <w:sz w:val="24"/>
              </w:rPr>
            </w:pPr>
            <w:r>
              <w:rPr>
                <w:rFonts w:hint="eastAsia"/>
                <w:color w:val="000000"/>
                <w:sz w:val="24"/>
              </w:rPr>
              <w:t>四至</w:t>
            </w:r>
          </w:p>
          <w:p w14:paraId="5123A7DB">
            <w:pPr>
              <w:spacing w:after="120"/>
              <w:ind w:left="420" w:leftChars="200" w:firstLine="420" w:firstLineChars="200"/>
            </w:pPr>
          </w:p>
        </w:tc>
      </w:tr>
      <w:tr w14:paraId="44D50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Merge w:val="restart"/>
            <w:vAlign w:val="center"/>
          </w:tcPr>
          <w:p w14:paraId="0ED12E40">
            <w:pPr>
              <w:spacing w:line="600" w:lineRule="exact"/>
              <w:jc w:val="center"/>
              <w:rPr>
                <w:color w:val="000000"/>
                <w:sz w:val="24"/>
              </w:rPr>
            </w:pPr>
            <w:r>
              <w:rPr>
                <w:rFonts w:hint="eastAsia"/>
                <w:color w:val="000000"/>
                <w:sz w:val="24"/>
              </w:rPr>
              <w:t>1</w:t>
            </w:r>
          </w:p>
        </w:tc>
        <w:tc>
          <w:tcPr>
            <w:tcW w:w="3118" w:type="dxa"/>
            <w:vMerge w:val="restart"/>
            <w:vAlign w:val="center"/>
          </w:tcPr>
          <w:p w14:paraId="5CA57AE6">
            <w:pPr>
              <w:spacing w:line="600" w:lineRule="exact"/>
              <w:jc w:val="center"/>
              <w:rPr>
                <w:color w:val="000000"/>
                <w:sz w:val="24"/>
              </w:rPr>
            </w:pPr>
          </w:p>
        </w:tc>
        <w:tc>
          <w:tcPr>
            <w:tcW w:w="5075" w:type="dxa"/>
          </w:tcPr>
          <w:p w14:paraId="56A38F66">
            <w:pPr>
              <w:spacing w:line="600" w:lineRule="exact"/>
              <w:rPr>
                <w:color w:val="000000"/>
                <w:sz w:val="24"/>
              </w:rPr>
            </w:pPr>
            <w:r>
              <w:rPr>
                <w:rFonts w:hint="eastAsia"/>
                <w:color w:val="000000"/>
                <w:sz w:val="24"/>
              </w:rPr>
              <w:t>东至：</w:t>
            </w:r>
          </w:p>
        </w:tc>
      </w:tr>
      <w:tr w14:paraId="4B83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2F5F9F62">
            <w:pPr>
              <w:spacing w:line="600" w:lineRule="exact"/>
              <w:jc w:val="center"/>
              <w:rPr>
                <w:color w:val="000000"/>
                <w:sz w:val="24"/>
              </w:rPr>
            </w:pPr>
          </w:p>
        </w:tc>
        <w:tc>
          <w:tcPr>
            <w:tcW w:w="3118" w:type="dxa"/>
            <w:vMerge w:val="continue"/>
            <w:vAlign w:val="center"/>
          </w:tcPr>
          <w:p w14:paraId="6CD53DF9">
            <w:pPr>
              <w:spacing w:line="600" w:lineRule="exact"/>
              <w:jc w:val="center"/>
              <w:rPr>
                <w:color w:val="000000"/>
                <w:sz w:val="24"/>
              </w:rPr>
            </w:pPr>
          </w:p>
        </w:tc>
        <w:tc>
          <w:tcPr>
            <w:tcW w:w="5075" w:type="dxa"/>
          </w:tcPr>
          <w:p w14:paraId="14300659">
            <w:pPr>
              <w:spacing w:line="600" w:lineRule="exact"/>
              <w:rPr>
                <w:color w:val="000000"/>
                <w:sz w:val="24"/>
              </w:rPr>
            </w:pPr>
            <w:r>
              <w:rPr>
                <w:rFonts w:hint="eastAsia"/>
                <w:color w:val="000000"/>
                <w:sz w:val="24"/>
              </w:rPr>
              <w:t>南至：</w:t>
            </w:r>
          </w:p>
        </w:tc>
      </w:tr>
      <w:tr w14:paraId="06316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4D697DCC">
            <w:pPr>
              <w:spacing w:line="600" w:lineRule="exact"/>
              <w:jc w:val="center"/>
              <w:rPr>
                <w:color w:val="000000"/>
                <w:sz w:val="24"/>
              </w:rPr>
            </w:pPr>
          </w:p>
        </w:tc>
        <w:tc>
          <w:tcPr>
            <w:tcW w:w="3118" w:type="dxa"/>
            <w:vMerge w:val="continue"/>
            <w:vAlign w:val="center"/>
          </w:tcPr>
          <w:p w14:paraId="270C9A84">
            <w:pPr>
              <w:spacing w:line="600" w:lineRule="exact"/>
              <w:jc w:val="center"/>
              <w:rPr>
                <w:color w:val="000000"/>
                <w:sz w:val="24"/>
              </w:rPr>
            </w:pPr>
          </w:p>
        </w:tc>
        <w:tc>
          <w:tcPr>
            <w:tcW w:w="5075" w:type="dxa"/>
          </w:tcPr>
          <w:p w14:paraId="246FE8E3">
            <w:pPr>
              <w:spacing w:line="600" w:lineRule="exact"/>
              <w:rPr>
                <w:color w:val="000000"/>
                <w:sz w:val="24"/>
              </w:rPr>
            </w:pPr>
            <w:r>
              <w:rPr>
                <w:rFonts w:hint="eastAsia"/>
                <w:color w:val="000000"/>
                <w:sz w:val="24"/>
              </w:rPr>
              <w:t>西至：</w:t>
            </w:r>
          </w:p>
        </w:tc>
      </w:tr>
      <w:tr w14:paraId="30629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Merge w:val="continue"/>
            <w:vAlign w:val="center"/>
          </w:tcPr>
          <w:p w14:paraId="126C554C">
            <w:pPr>
              <w:spacing w:line="600" w:lineRule="exact"/>
              <w:jc w:val="center"/>
              <w:rPr>
                <w:color w:val="000000"/>
                <w:sz w:val="24"/>
              </w:rPr>
            </w:pPr>
          </w:p>
        </w:tc>
        <w:tc>
          <w:tcPr>
            <w:tcW w:w="3118" w:type="dxa"/>
            <w:vMerge w:val="continue"/>
            <w:vAlign w:val="center"/>
          </w:tcPr>
          <w:p w14:paraId="355B053B">
            <w:pPr>
              <w:spacing w:line="600" w:lineRule="exact"/>
              <w:jc w:val="center"/>
              <w:rPr>
                <w:color w:val="000000"/>
                <w:sz w:val="24"/>
              </w:rPr>
            </w:pPr>
          </w:p>
        </w:tc>
        <w:tc>
          <w:tcPr>
            <w:tcW w:w="5075" w:type="dxa"/>
          </w:tcPr>
          <w:p w14:paraId="15E6AD20">
            <w:pPr>
              <w:spacing w:line="600" w:lineRule="exact"/>
              <w:rPr>
                <w:color w:val="000000"/>
                <w:sz w:val="24"/>
              </w:rPr>
            </w:pPr>
            <w:r>
              <w:rPr>
                <w:rFonts w:hint="eastAsia"/>
                <w:color w:val="000000"/>
                <w:sz w:val="24"/>
              </w:rPr>
              <w:t>北至：</w:t>
            </w:r>
          </w:p>
        </w:tc>
      </w:tr>
      <w:tr w14:paraId="6E5B4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Align w:val="center"/>
          </w:tcPr>
          <w:p w14:paraId="589F834D">
            <w:pPr>
              <w:spacing w:line="600" w:lineRule="exact"/>
              <w:jc w:val="center"/>
              <w:rPr>
                <w:color w:val="000000"/>
                <w:sz w:val="24"/>
              </w:rPr>
            </w:pPr>
          </w:p>
        </w:tc>
        <w:tc>
          <w:tcPr>
            <w:tcW w:w="3118" w:type="dxa"/>
            <w:vAlign w:val="center"/>
          </w:tcPr>
          <w:p w14:paraId="1792583A">
            <w:pPr>
              <w:spacing w:line="600" w:lineRule="exact"/>
              <w:jc w:val="center"/>
              <w:rPr>
                <w:rFonts w:hint="default" w:eastAsiaTheme="minorEastAsia"/>
                <w:color w:val="000000"/>
                <w:sz w:val="24"/>
                <w:lang w:val="en-US" w:eastAsia="zh-CN"/>
              </w:rPr>
            </w:pPr>
            <w:r>
              <w:rPr>
                <w:rFonts w:hint="eastAsia"/>
                <w:color w:val="000000"/>
                <w:sz w:val="24"/>
                <w:lang w:val="en-US" w:eastAsia="zh-CN"/>
              </w:rPr>
              <w:t>项目编号</w:t>
            </w:r>
          </w:p>
        </w:tc>
        <w:tc>
          <w:tcPr>
            <w:tcW w:w="5075" w:type="dxa"/>
          </w:tcPr>
          <w:p w14:paraId="689552D2">
            <w:pPr>
              <w:spacing w:line="600" w:lineRule="exact"/>
              <w:rPr>
                <w:rFonts w:hint="eastAsia"/>
                <w:color w:val="000000"/>
                <w:sz w:val="24"/>
              </w:rPr>
            </w:pPr>
          </w:p>
        </w:tc>
      </w:tr>
    </w:tbl>
    <w:p w14:paraId="602DCA9A">
      <w:pPr>
        <w:rPr>
          <w:rFonts w:ascii="宋体" w:hAnsi="宋体" w:eastAsia="宋体"/>
          <w:sz w:val="24"/>
          <w:szCs w:val="24"/>
        </w:rPr>
      </w:pPr>
    </w:p>
    <w:p w14:paraId="4048BC2C">
      <w:pPr>
        <w:rPr>
          <w:rFonts w:ascii="宋体" w:hAnsi="宋体" w:eastAsia="宋体"/>
          <w:sz w:val="24"/>
          <w:szCs w:val="24"/>
        </w:rPr>
      </w:pPr>
      <w:r>
        <w:rPr>
          <w:rFonts w:ascii="宋体" w:hAnsi="宋体" w:eastAsia="宋体"/>
          <w:sz w:val="24"/>
          <w:szCs w:val="24"/>
        </w:rPr>
        <w:t>附着物及其他情况描述：</w:t>
      </w:r>
    </w:p>
    <w:p w14:paraId="5C18F6DC">
      <w:pPr>
        <w:pStyle w:val="4"/>
      </w:pPr>
      <w:r>
        <w:rPr>
          <w:rFonts w:ascii="宋体" w:hAnsi="宋体"/>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D22781">
      <w:pPr>
        <w:jc w:val="left"/>
        <w:rPr>
          <w:rFonts w:hint="eastAsia"/>
        </w:rPr>
      </w:pPr>
      <w:r>
        <w:rPr>
          <w:rFonts w:hint="eastAsia"/>
          <w:sz w:val="28"/>
          <w:szCs w:val="28"/>
        </w:rPr>
        <w:t>　　　　</w:t>
      </w:r>
    </w:p>
    <w:p w14:paraId="479D3D9E">
      <w:pPr>
        <w:pStyle w:val="3"/>
        <w:keepNext w:val="0"/>
        <w:keepLines w:val="0"/>
        <w:rPr>
          <w:rFonts w:hint="eastAsia"/>
          <w:sz w:val="44"/>
          <w:szCs w:val="44"/>
        </w:rPr>
        <w:sectPr>
          <w:pgSz w:w="11906" w:h="16838"/>
          <w:pgMar w:top="1361" w:right="1701" w:bottom="1378" w:left="1701" w:header="0" w:footer="1259" w:gutter="0"/>
          <w:pgNumType w:fmt="decimal"/>
          <w:cols w:space="0" w:num="1"/>
          <w:rtlGutter w:val="0"/>
          <w:docGrid w:linePitch="312" w:charSpace="0"/>
        </w:sectPr>
      </w:pPr>
    </w:p>
    <w:p w14:paraId="03B326DF">
      <w:pPr>
        <w:spacing w:line="520" w:lineRule="exact"/>
        <w:ind w:right="1844"/>
        <w:rPr>
          <w:rFonts w:hint="eastAsia" w:ascii="仿宋" w:hAnsi="仿宋" w:eastAsia="仿宋" w:cs="Times New Roman"/>
          <w:b/>
          <w:bCs/>
          <w:color w:val="000000"/>
          <w:sz w:val="30"/>
          <w:szCs w:val="30"/>
        </w:rPr>
      </w:pPr>
      <w:r>
        <w:rPr>
          <w:rFonts w:hint="eastAsia" w:ascii="仿宋" w:hAnsi="仿宋" w:eastAsia="仿宋" w:cs="Times New Roman"/>
          <w:b/>
          <w:bCs/>
          <w:color w:val="000000"/>
          <w:sz w:val="30"/>
          <w:szCs w:val="30"/>
        </w:rPr>
        <w:t>合同编号：</w:t>
      </w:r>
    </w:p>
    <w:p w14:paraId="5112B58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40334D"/>
    <w:multiLevelType w:val="multilevel"/>
    <w:tmpl w:val="7740334D"/>
    <w:lvl w:ilvl="0" w:tentative="0">
      <w:start w:val="1"/>
      <w:numFmt w:val="japaneseCounting"/>
      <w:lvlText w:val="第%1条"/>
      <w:lvlJc w:val="left"/>
      <w:pPr>
        <w:ind w:left="1311" w:hanging="885"/>
      </w:pPr>
      <w:rPr>
        <w:rFonts w:hint="default"/>
      </w:rPr>
    </w:lvl>
    <w:lvl w:ilvl="1" w:tentative="0">
      <w:start w:val="2"/>
      <w:numFmt w:val="decimal"/>
      <w:lvlText w:val="%2、"/>
      <w:lvlJc w:val="left"/>
      <w:pPr>
        <w:ind w:left="786" w:hanging="360"/>
      </w:pPr>
      <w:rPr>
        <w:rFonts w:hint="default"/>
      </w:r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D2EB1"/>
    <w:rsid w:val="5B8D2EB1"/>
    <w:rsid w:val="78202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pageBreakBefore/>
      <w:spacing w:before="50" w:beforeLines="50" w:after="150" w:afterLines="150" w:line="400" w:lineRule="exact"/>
      <w:jc w:val="center"/>
      <w:outlineLvl w:val="0"/>
    </w:pPr>
    <w:rPr>
      <w:rFonts w:ascii="Times New Roman" w:hAnsi="Times New Roman" w:eastAsia="黑体"/>
      <w:b/>
      <w:kern w:val="44"/>
      <w:sz w:val="36"/>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Body Text"/>
    <w:basedOn w:val="1"/>
    <w:uiPriority w:val="0"/>
    <w:pPr>
      <w:spacing w:line="400" w:lineRule="exact"/>
      <w:ind w:firstLine="602" w:firstLineChars="200"/>
    </w:pPr>
    <w:rPr>
      <w:sz w:val="24"/>
    </w:rPr>
  </w:style>
  <w:style w:type="paragraph" w:styleId="5">
    <w:name w:val="Body Text Indent"/>
    <w:basedOn w:val="1"/>
    <w:semiHidden/>
    <w:unhideWhenUsed/>
    <w:qFormat/>
    <w:uiPriority w:val="99"/>
    <w:pPr>
      <w:spacing w:after="120"/>
      <w:ind w:left="420" w:leftChars="200"/>
    </w:pPr>
  </w:style>
  <w:style w:type="paragraph" w:styleId="6">
    <w:name w:val="Body Text First Indent 2"/>
    <w:basedOn w:val="5"/>
    <w:qFormat/>
    <w:uiPriority w:val="0"/>
    <w:pPr>
      <w:ind w:firstLine="420" w:firstLineChars="200"/>
    </w:pPr>
    <w:rPr>
      <w:rFonts w:ascii="Calibri" w:hAnsi="Calibri" w:eastAsia="宋体" w:cs="Times New Roman"/>
      <w:kern w:val="0"/>
      <w:sz w:val="28"/>
      <w:szCs w:val="24"/>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2025-12-31T01:35:00Z</dcterms:created>
  <dc:creator>admin</dc:creator>
  <cp:lastModifiedBy>admin</cp:lastModifiedBy>
  <dcterms:modified xsi:type="dcterms:W3CDTF">2026-01-06T02:10:44Z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C0CB8907F36F469E8BEB8F82BD582A58_11</vt:lpwstr>
  </property>
</Properties>
</file>