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CF0892">
      <w:pPr>
        <w:pStyle w:val="3"/>
        <w:spacing w:line="360" w:lineRule="auto"/>
        <w:jc w:val="center"/>
        <w:rPr>
          <w:color w:val="000000"/>
          <w:sz w:val="44"/>
          <w:szCs w:val="44"/>
        </w:rPr>
      </w:pPr>
      <w:bookmarkStart w:id="0" w:name="_Toc2389"/>
      <w:bookmarkStart w:id="1" w:name="_Toc28711"/>
      <w:bookmarkStart w:id="2" w:name="_Toc23768"/>
      <w:bookmarkStart w:id="3" w:name="_Toc8764"/>
      <w:bookmarkStart w:id="4" w:name="_Toc16973"/>
      <w:bookmarkStart w:id="5" w:name="_Toc888"/>
      <w:bookmarkStart w:id="6" w:name="_Toc14245"/>
      <w:bookmarkStart w:id="7" w:name="_Toc4717"/>
      <w:bookmarkStart w:id="8" w:name="_Toc12957"/>
      <w:bookmarkStart w:id="9" w:name="_Toc10265"/>
      <w:bookmarkStart w:id="10" w:name="_Toc30936"/>
      <w:bookmarkStart w:id="11" w:name="_Toc18479"/>
      <w:bookmarkStart w:id="12" w:name="_Toc9817"/>
      <w:bookmarkStart w:id="13" w:name="_Toc32504"/>
      <w:bookmarkStart w:id="14" w:name="_Toc2281"/>
      <w:bookmarkStart w:id="15" w:name="_Toc7162"/>
      <w:bookmarkStart w:id="16" w:name="_Toc24724"/>
      <w:bookmarkStart w:id="17" w:name="_Toc17534"/>
      <w:bookmarkStart w:id="18" w:name="_Toc5929"/>
      <w:bookmarkStart w:id="19" w:name="_Toc14467"/>
      <w:bookmarkStart w:id="20" w:name="_Toc29282"/>
      <w:r>
        <w:rPr>
          <w:rFonts w:hint="eastAsia"/>
          <w:b/>
          <w:bCs w:val="0"/>
          <w:color w:val="000000"/>
          <w:sz w:val="44"/>
          <w:szCs w:val="44"/>
          <w:lang w:val="en-US" w:eastAsia="zh-CN"/>
        </w:rPr>
        <w:t>袁州区</w:t>
      </w:r>
      <w:r>
        <w:rPr>
          <w:rFonts w:hint="eastAsia"/>
          <w:color w:val="000000"/>
          <w:sz w:val="44"/>
          <w:szCs w:val="44"/>
        </w:rPr>
        <w:t>农</w:t>
      </w:r>
      <w:r>
        <w:rPr>
          <w:rFonts w:hint="eastAsia"/>
          <w:color w:val="000000"/>
          <w:sz w:val="44"/>
          <w:szCs w:val="44"/>
          <w:lang w:val="en-US" w:eastAsia="zh-CN"/>
        </w:rPr>
        <w:t>户</w:t>
      </w:r>
      <w:r>
        <w:rPr>
          <w:rFonts w:hint="eastAsia"/>
          <w:color w:val="000000"/>
          <w:sz w:val="44"/>
          <w:szCs w:val="44"/>
        </w:rPr>
        <w:t>土地经营权流转合同</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p>
    <w:p w14:paraId="6A21C27E">
      <w:pPr>
        <w:spacing w:line="360" w:lineRule="auto"/>
        <w:rPr>
          <w:rFonts w:ascii="宋体" w:hAnsi="宋体" w:eastAsia="宋体" w:cs="仿宋_GB2312"/>
          <w:b/>
          <w:color w:val="000000"/>
          <w:sz w:val="30"/>
          <w:szCs w:val="30"/>
          <w:u w:val="none"/>
        </w:rPr>
      </w:pPr>
      <w:r>
        <w:rPr>
          <w:rFonts w:hint="eastAsia" w:ascii="宋体" w:hAnsi="宋体" w:eastAsia="宋体" w:cs="仿宋_GB2312"/>
          <w:b/>
          <w:color w:val="000000"/>
          <w:sz w:val="30"/>
          <w:szCs w:val="30"/>
        </w:rPr>
        <w:t>出让方（以下简称甲方）：</w:t>
      </w:r>
      <w:r>
        <w:rPr>
          <w:rFonts w:ascii="宋体" w:hAnsi="宋体" w:eastAsia="宋体" w:cs="Times New Roman"/>
          <w:color w:val="000000"/>
          <w:szCs w:val="28"/>
          <w:u w:val="single"/>
        </w:rPr>
        <w:t xml:space="preserve">     </w:t>
      </w:r>
      <w:r>
        <w:rPr>
          <w:rFonts w:hint="eastAsia" w:ascii="宋体" w:hAnsi="宋体" w:eastAsia="宋体" w:cs="Times New Roman"/>
          <w:color w:val="000000"/>
          <w:szCs w:val="28"/>
          <w:u w:val="single"/>
        </w:rPr>
        <w:t xml:space="preserve">                      </w:t>
      </w:r>
      <w:r>
        <w:rPr>
          <w:rFonts w:hint="eastAsia" w:ascii="宋体" w:hAnsi="宋体" w:cs="仿宋_GB2312"/>
          <w:b/>
          <w:color w:val="000000"/>
          <w:sz w:val="30"/>
          <w:szCs w:val="30"/>
          <w:u w:val="single"/>
        </w:rPr>
        <w:t xml:space="preserve">    </w:t>
      </w:r>
    </w:p>
    <w:p w14:paraId="0DC133A1">
      <w:pPr>
        <w:spacing w:line="360" w:lineRule="auto"/>
        <w:rPr>
          <w:rFonts w:ascii="宋体" w:hAnsi="宋体" w:eastAsia="宋体" w:cs="仿宋_GB2312"/>
          <w:b/>
          <w:color w:val="000000"/>
          <w:sz w:val="30"/>
          <w:szCs w:val="30"/>
          <w:u w:val="single"/>
        </w:rPr>
      </w:pPr>
      <w:r>
        <w:rPr>
          <w:rFonts w:hint="eastAsia" w:ascii="宋体" w:hAnsi="宋体" w:eastAsia="宋体" w:cs="仿宋_GB2312"/>
          <w:b/>
          <w:color w:val="000000"/>
          <w:sz w:val="30"/>
          <w:szCs w:val="30"/>
        </w:rPr>
        <w:t>受让方（以下简称乙方）：</w:t>
      </w:r>
      <w:r>
        <w:rPr>
          <w:rFonts w:ascii="宋体" w:hAnsi="宋体" w:eastAsia="宋体" w:cs="Times New Roman"/>
          <w:color w:val="000000"/>
          <w:szCs w:val="28"/>
          <w:u w:val="single"/>
        </w:rPr>
        <w:t xml:space="preserve">     </w:t>
      </w:r>
      <w:r>
        <w:rPr>
          <w:rFonts w:hint="eastAsia" w:ascii="宋体" w:hAnsi="宋体" w:eastAsia="宋体" w:cs="Times New Roman"/>
          <w:color w:val="000000"/>
          <w:szCs w:val="28"/>
          <w:u w:val="single"/>
        </w:rPr>
        <w:t xml:space="preserve">                      </w:t>
      </w:r>
      <w:r>
        <w:rPr>
          <w:rFonts w:hint="eastAsia" w:ascii="宋体" w:hAnsi="宋体" w:cs="仿宋_GB2312"/>
          <w:b/>
          <w:color w:val="000000"/>
          <w:sz w:val="30"/>
          <w:szCs w:val="30"/>
          <w:u w:val="single"/>
        </w:rPr>
        <w:t xml:space="preserve">       </w:t>
      </w:r>
    </w:p>
    <w:p w14:paraId="4B0FB1A8">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根据《中华人民共和国农村土地承包法》、《中华人民共和国</w:t>
      </w:r>
      <w:r>
        <w:rPr>
          <w:rFonts w:hint="eastAsia" w:ascii="Calibri" w:hAnsi="Calibri" w:eastAsia="宋体" w:cs="Times New Roman"/>
          <w:sz w:val="24"/>
          <w:lang w:eastAsia="zh-CN"/>
        </w:rPr>
        <w:t>民法典</w:t>
      </w:r>
      <w:r>
        <w:rPr>
          <w:rFonts w:hint="eastAsia" w:ascii="Calibri" w:hAnsi="Calibri" w:eastAsia="宋体" w:cs="Times New Roman"/>
          <w:sz w:val="24"/>
        </w:rPr>
        <w:t>》、《农村土地承包经营权流转管理办法》等法律、法规和国家有关政策的规定，甲乙双方本着平等、自愿、诚实信用的原则，经双方协商一致，就土地经营权流转事宜，订立本合同。</w:t>
      </w:r>
    </w:p>
    <w:p w14:paraId="4629DCCF">
      <w:pPr>
        <w:pStyle w:val="5"/>
        <w:spacing w:line="360" w:lineRule="auto"/>
        <w:ind w:firstLine="560"/>
      </w:pPr>
    </w:p>
    <w:p w14:paraId="1C8CD5A2">
      <w:pPr>
        <w:spacing w:line="360" w:lineRule="auto"/>
        <w:jc w:val="left"/>
        <w:rPr>
          <w:rFonts w:ascii="宋体" w:hAnsi="宋体" w:eastAsia="宋体" w:cs="Times New Roman"/>
          <w:b/>
          <w:color w:val="000000"/>
          <w:szCs w:val="28"/>
        </w:rPr>
      </w:pPr>
      <w:r>
        <w:rPr>
          <w:rFonts w:hint="eastAsia" w:ascii="宋体" w:hAnsi="宋体" w:eastAsia="宋体" w:cs="Times New Roman"/>
          <w:b/>
          <w:color w:val="000000"/>
          <w:szCs w:val="28"/>
        </w:rPr>
        <w:t>第一条  流转土地基本情况及用途</w:t>
      </w:r>
    </w:p>
    <w:p w14:paraId="6FC82B46">
      <w:pPr>
        <w:spacing w:line="360" w:lineRule="auto"/>
        <w:ind w:firstLine="480" w:firstLineChars="200"/>
        <w:rPr>
          <w:rFonts w:ascii="宋体" w:hAnsi="宋体" w:eastAsia="宋体" w:cs="Times New Roman"/>
          <w:sz w:val="24"/>
        </w:rPr>
      </w:pPr>
      <w:r>
        <w:rPr>
          <w:rFonts w:hint="eastAsia" w:ascii="宋体" w:hAnsi="宋体" w:eastAsia="宋体" w:cs="Times New Roman"/>
          <w:sz w:val="24"/>
        </w:rPr>
        <w:t>甲方自愿将其位于</w:t>
      </w:r>
      <w:r>
        <w:rPr>
          <w:rFonts w:hint="eastAsia" w:ascii="宋体" w:hAnsi="宋体" w:eastAsia="宋体" w:cs="Times New Roman"/>
          <w:sz w:val="24"/>
          <w:lang w:val="en-US" w:eastAsia="zh-CN"/>
        </w:rPr>
        <w:t>袁州区</w:t>
      </w:r>
      <w:r>
        <w:rPr>
          <w:rFonts w:hint="eastAsia" w:ascii="宋体" w:hAnsi="宋体" w:eastAsia="宋体" w:cs="Times New Roman"/>
          <w:sz w:val="24"/>
          <w:u w:val="single"/>
        </w:rPr>
        <w:tab/>
      </w:r>
      <w:r>
        <w:rPr>
          <w:rFonts w:hint="eastAsia" w:ascii="宋体" w:hAnsi="宋体" w:eastAsia="宋体" w:cs="Times New Roman"/>
          <w:sz w:val="24"/>
          <w:u w:val="single"/>
        </w:rPr>
        <w:t xml:space="preserve">   </w:t>
      </w:r>
      <w:r>
        <w:rPr>
          <w:rFonts w:hint="eastAsia" w:ascii="宋体" w:hAnsi="宋体" w:eastAsia="宋体" w:cs="Times New Roman"/>
          <w:sz w:val="24"/>
          <w:u w:val="single"/>
          <w:lang w:val="en-US" w:eastAsia="zh-CN"/>
        </w:rPr>
        <w:t xml:space="preserve">   </w:t>
      </w:r>
      <w:r>
        <w:rPr>
          <w:rFonts w:hint="eastAsia" w:ascii="宋体" w:hAnsi="宋体" w:eastAsia="宋体" w:cs="Times New Roman"/>
          <w:sz w:val="24"/>
          <w:u w:val="single"/>
        </w:rPr>
        <w:t xml:space="preserve"> </w:t>
      </w:r>
      <w:r>
        <w:rPr>
          <w:rFonts w:hint="eastAsia" w:ascii="宋体" w:hAnsi="宋体" w:eastAsia="宋体" w:cs="Times New Roman"/>
          <w:sz w:val="24"/>
        </w:rPr>
        <w:t>乡</w:t>
      </w:r>
      <w:r>
        <w:rPr>
          <w:rFonts w:hint="eastAsia" w:ascii="宋体" w:hAnsi="宋体" w:eastAsia="宋体" w:cs="Times New Roman"/>
          <w:sz w:val="24"/>
          <w:lang w:val="en-US" w:eastAsia="zh-CN"/>
        </w:rPr>
        <w:t>镇</w:t>
      </w:r>
      <w:r>
        <w:rPr>
          <w:rFonts w:hint="eastAsia" w:ascii="宋体" w:hAnsi="宋体" w:eastAsia="宋体" w:cs="Times New Roman"/>
          <w:sz w:val="24"/>
          <w:lang w:eastAsia="zh-CN"/>
        </w:rPr>
        <w:t>（</w:t>
      </w:r>
      <w:r>
        <w:rPr>
          <w:rFonts w:hint="eastAsia" w:ascii="宋体" w:hAnsi="宋体" w:eastAsia="宋体" w:cs="Times New Roman"/>
          <w:sz w:val="24"/>
        </w:rPr>
        <w:t>街</w:t>
      </w:r>
      <w:r>
        <w:rPr>
          <w:rFonts w:hint="eastAsia" w:ascii="宋体" w:hAnsi="宋体" w:eastAsia="宋体" w:cs="Times New Roman"/>
          <w:sz w:val="24"/>
          <w:lang w:val="en-US" w:eastAsia="zh-CN"/>
        </w:rPr>
        <w:t>道</w:t>
      </w:r>
      <w:r>
        <w:rPr>
          <w:rFonts w:hint="eastAsia" w:ascii="宋体" w:hAnsi="宋体" w:eastAsia="宋体" w:cs="Times New Roman"/>
          <w:sz w:val="24"/>
        </w:rPr>
        <w:t>）</w:t>
      </w:r>
      <w:r>
        <w:rPr>
          <w:rFonts w:hint="eastAsia" w:ascii="宋体" w:hAnsi="宋体" w:eastAsia="宋体" w:cs="Times New Roman"/>
          <w:sz w:val="24"/>
          <w:u w:val="single"/>
        </w:rPr>
        <w:t xml:space="preserve">        </w:t>
      </w:r>
      <w:r>
        <w:rPr>
          <w:rFonts w:hint="eastAsia" w:ascii="宋体" w:hAnsi="宋体" w:eastAsia="宋体" w:cs="Times New Roman"/>
          <w:sz w:val="24"/>
        </w:rPr>
        <w:t>村的</w:t>
      </w:r>
      <w:r>
        <w:rPr>
          <w:rFonts w:hint="eastAsia" w:ascii="宋体" w:hAnsi="宋体" w:eastAsia="宋体" w:cs="Times New Roman"/>
          <w:sz w:val="24"/>
          <w:u w:val="single"/>
        </w:rPr>
        <w:t xml:space="preserve">        </w:t>
      </w:r>
      <w:r>
        <w:rPr>
          <w:rFonts w:hint="eastAsia" w:ascii="宋体" w:hAnsi="宋体" w:eastAsia="宋体" w:cs="Times New Roman"/>
          <w:sz w:val="24"/>
        </w:rPr>
        <w:t>亩土地（详见附件1)经营权以</w:t>
      </w:r>
      <w:r>
        <w:rPr>
          <w:rFonts w:hint="eastAsia" w:ascii="宋体" w:hAnsi="宋体" w:eastAsia="宋体" w:cs="Times New Roman"/>
          <w:sz w:val="24"/>
          <w:u w:val="single"/>
        </w:rPr>
        <w:t xml:space="preserve">       </w:t>
      </w:r>
      <w:r>
        <w:rPr>
          <w:rFonts w:hint="eastAsia" w:ascii="宋体" w:hAnsi="宋体" w:eastAsia="宋体" w:cs="Times New Roman"/>
          <w:sz w:val="24"/>
          <w:u w:val="single"/>
          <w:lang w:val="en-US" w:eastAsia="zh-CN"/>
        </w:rPr>
        <w:t xml:space="preserve">   </w:t>
      </w:r>
      <w:r>
        <w:rPr>
          <w:rFonts w:hint="eastAsia" w:ascii="宋体" w:hAnsi="宋体" w:eastAsia="宋体" w:cs="Times New Roman"/>
          <w:sz w:val="24"/>
          <w:u w:val="single"/>
        </w:rPr>
        <w:t xml:space="preserve"> </w:t>
      </w:r>
      <w:r>
        <w:rPr>
          <w:rFonts w:hint="eastAsia" w:ascii="宋体" w:hAnsi="宋体" w:eastAsia="宋体" w:cs="Times New Roman"/>
          <w:sz w:val="24"/>
        </w:rPr>
        <w:t>（转包、出租）的方式流转给乙方，从事</w:t>
      </w:r>
      <w:r>
        <w:rPr>
          <w:rFonts w:hint="eastAsia" w:ascii="宋体" w:hAnsi="宋体" w:eastAsia="宋体" w:cs="Times New Roman"/>
          <w:sz w:val="24"/>
          <w:lang w:val="en-US" w:eastAsia="zh-CN"/>
        </w:rPr>
        <w:t xml:space="preserve">  </w:t>
      </w:r>
      <w:r>
        <w:rPr>
          <w:rFonts w:hint="eastAsia" w:ascii="宋体" w:hAnsi="宋体" w:eastAsia="宋体" w:cs="Times New Roman"/>
          <w:sz w:val="24"/>
          <w:u w:val="single"/>
        </w:rPr>
        <w:t xml:space="preserve">                      </w:t>
      </w:r>
      <w:r>
        <w:rPr>
          <w:rFonts w:hint="eastAsia" w:ascii="宋体" w:hAnsi="宋体" w:eastAsia="宋体" w:cs="Times New Roman"/>
          <w:sz w:val="24"/>
          <w:u w:val="none"/>
          <w:lang w:val="en-US" w:eastAsia="zh-CN"/>
        </w:rPr>
        <w:t xml:space="preserve"> </w:t>
      </w:r>
      <w:r>
        <w:rPr>
          <w:rFonts w:hint="eastAsia" w:ascii="宋体" w:hAnsi="宋体" w:eastAsia="宋体" w:cs="Times New Roman"/>
          <w:sz w:val="24"/>
        </w:rPr>
        <w:t>生产经营。</w:t>
      </w:r>
    </w:p>
    <w:p w14:paraId="75ED559E">
      <w:pPr>
        <w:pStyle w:val="5"/>
        <w:spacing w:line="360" w:lineRule="auto"/>
        <w:ind w:firstLine="560"/>
      </w:pPr>
    </w:p>
    <w:p w14:paraId="41EA900A">
      <w:pPr>
        <w:spacing w:line="360" w:lineRule="auto"/>
        <w:jc w:val="left"/>
        <w:rPr>
          <w:rFonts w:ascii="宋体" w:hAnsi="宋体" w:eastAsia="宋体" w:cs="Times New Roman"/>
          <w:b/>
          <w:color w:val="000000"/>
          <w:szCs w:val="28"/>
        </w:rPr>
      </w:pPr>
      <w:r>
        <w:rPr>
          <w:rFonts w:hint="eastAsia" w:ascii="宋体" w:hAnsi="宋体" w:eastAsia="宋体" w:cs="Times New Roman"/>
          <w:b/>
          <w:color w:val="000000"/>
          <w:szCs w:val="28"/>
        </w:rPr>
        <w:t>第二条  流转期限</w:t>
      </w:r>
    </w:p>
    <w:p w14:paraId="178AD7AC">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流转期限自</w:t>
      </w:r>
      <w:r>
        <w:rPr>
          <w:rFonts w:hint="eastAsia" w:ascii="Calibri" w:hAnsi="Calibri" w:eastAsia="宋体" w:cs="Times New Roman"/>
          <w:sz w:val="24"/>
          <w:u w:val="single"/>
        </w:rPr>
        <w:t xml:space="preserve">       </w:t>
      </w:r>
      <w:r>
        <w:rPr>
          <w:rFonts w:hint="eastAsia" w:ascii="Calibri" w:hAnsi="Calibri" w:eastAsia="宋体" w:cs="Times New Roman"/>
          <w:sz w:val="24"/>
        </w:rPr>
        <w:t>年</w:t>
      </w:r>
      <w:r>
        <w:rPr>
          <w:rFonts w:hint="eastAsia" w:ascii="Calibri" w:hAnsi="Calibri" w:eastAsia="宋体" w:cs="Times New Roman"/>
          <w:sz w:val="24"/>
          <w:u w:val="single"/>
        </w:rPr>
        <w:t xml:space="preserve">   </w:t>
      </w:r>
      <w:r>
        <w:rPr>
          <w:rFonts w:hint="eastAsia" w:ascii="Calibri" w:hAnsi="Calibri" w:eastAsia="宋体" w:cs="Times New Roman"/>
          <w:sz w:val="24"/>
        </w:rPr>
        <w:t>月</w:t>
      </w:r>
      <w:r>
        <w:rPr>
          <w:rFonts w:hint="eastAsia" w:ascii="Calibri" w:hAnsi="Calibri" w:eastAsia="宋体" w:cs="Times New Roman"/>
          <w:sz w:val="24"/>
          <w:u w:val="single"/>
        </w:rPr>
        <w:t xml:space="preserve">    </w:t>
      </w:r>
      <w:r>
        <w:rPr>
          <w:rFonts w:hint="eastAsia" w:ascii="Calibri" w:hAnsi="Calibri" w:eastAsia="宋体" w:cs="Times New Roman"/>
          <w:sz w:val="24"/>
        </w:rPr>
        <w:t>日起至</w:t>
      </w:r>
      <w:r>
        <w:rPr>
          <w:rFonts w:hint="eastAsia" w:ascii="Calibri" w:hAnsi="Calibri" w:eastAsia="宋体" w:cs="Times New Roman"/>
          <w:sz w:val="24"/>
          <w:u w:val="single"/>
        </w:rPr>
        <w:t xml:space="preserve">       </w:t>
      </w:r>
      <w:r>
        <w:rPr>
          <w:rFonts w:hint="eastAsia" w:ascii="Calibri" w:hAnsi="Calibri" w:eastAsia="宋体" w:cs="Times New Roman"/>
          <w:sz w:val="24"/>
        </w:rPr>
        <w:t>年</w:t>
      </w:r>
      <w:r>
        <w:rPr>
          <w:rFonts w:hint="eastAsia" w:ascii="Calibri" w:hAnsi="Calibri" w:eastAsia="宋体" w:cs="Times New Roman"/>
          <w:sz w:val="24"/>
          <w:u w:val="single"/>
        </w:rPr>
        <w:t xml:space="preserve">   </w:t>
      </w:r>
      <w:r>
        <w:rPr>
          <w:rFonts w:hint="eastAsia" w:ascii="Calibri" w:hAnsi="Calibri" w:eastAsia="宋体" w:cs="Times New Roman"/>
          <w:sz w:val="24"/>
        </w:rPr>
        <w:t>月</w:t>
      </w:r>
      <w:r>
        <w:rPr>
          <w:rFonts w:hint="eastAsia" w:ascii="Calibri" w:hAnsi="Calibri" w:eastAsia="宋体" w:cs="Times New Roman"/>
          <w:sz w:val="24"/>
          <w:u w:val="single"/>
        </w:rPr>
        <w:t xml:space="preserve">    </w:t>
      </w:r>
      <w:r>
        <w:rPr>
          <w:rFonts w:hint="eastAsia" w:ascii="Calibri" w:hAnsi="Calibri" w:eastAsia="宋体" w:cs="Times New Roman"/>
          <w:sz w:val="24"/>
        </w:rPr>
        <w:t>日止（</w:t>
      </w:r>
      <w:r>
        <w:rPr>
          <w:rFonts w:hint="eastAsia" w:ascii="Calibri" w:hAnsi="Calibri" w:eastAsia="宋体" w:cs="Times New Roman"/>
          <w:sz w:val="24"/>
          <w:lang w:val="en-US" w:eastAsia="zh-CN"/>
        </w:rPr>
        <w:t>流转年限不得超过相关法律法规规定的最长年限</w:t>
      </w:r>
      <w:r>
        <w:rPr>
          <w:rFonts w:hint="eastAsia" w:ascii="Calibri" w:hAnsi="Calibri" w:eastAsia="宋体" w:cs="Times New Roman"/>
          <w:sz w:val="24"/>
        </w:rPr>
        <w:t>）。甲方应于</w:t>
      </w:r>
      <w:r>
        <w:rPr>
          <w:rFonts w:hint="eastAsia" w:ascii="Calibri" w:hAnsi="Calibri" w:eastAsia="宋体" w:cs="Times New Roman"/>
          <w:sz w:val="24"/>
          <w:u w:val="single"/>
        </w:rPr>
        <w:t xml:space="preserve">       </w:t>
      </w:r>
      <w:r>
        <w:rPr>
          <w:rFonts w:hint="eastAsia" w:ascii="Calibri" w:hAnsi="Calibri" w:eastAsia="宋体" w:cs="Times New Roman"/>
          <w:sz w:val="24"/>
        </w:rPr>
        <w:t>年</w:t>
      </w:r>
      <w:r>
        <w:rPr>
          <w:rFonts w:hint="eastAsia" w:ascii="Calibri" w:hAnsi="Calibri" w:eastAsia="宋体" w:cs="Times New Roman"/>
          <w:sz w:val="24"/>
          <w:u w:val="single"/>
        </w:rPr>
        <w:t xml:space="preserve">   </w:t>
      </w:r>
      <w:r>
        <w:rPr>
          <w:rFonts w:hint="eastAsia" w:ascii="Calibri" w:hAnsi="Calibri" w:eastAsia="宋体" w:cs="Times New Roman"/>
          <w:sz w:val="24"/>
        </w:rPr>
        <w:t>月</w:t>
      </w:r>
      <w:r>
        <w:rPr>
          <w:rFonts w:hint="eastAsia" w:ascii="Calibri" w:hAnsi="Calibri" w:eastAsia="宋体" w:cs="Times New Roman"/>
          <w:sz w:val="24"/>
          <w:u w:val="single"/>
        </w:rPr>
        <w:t xml:space="preserve">    </w:t>
      </w:r>
      <w:r>
        <w:rPr>
          <w:rFonts w:hint="eastAsia" w:ascii="Calibri" w:hAnsi="Calibri" w:eastAsia="宋体" w:cs="Times New Roman"/>
          <w:sz w:val="24"/>
        </w:rPr>
        <w:t>日之前将土地交付乙方。</w:t>
      </w:r>
    </w:p>
    <w:p w14:paraId="4F8654C4">
      <w:pPr>
        <w:pStyle w:val="5"/>
        <w:spacing w:line="360" w:lineRule="auto"/>
        <w:ind w:firstLine="560"/>
      </w:pPr>
    </w:p>
    <w:p w14:paraId="60DD99D1">
      <w:pPr>
        <w:spacing w:line="360" w:lineRule="auto"/>
        <w:jc w:val="left"/>
        <w:rPr>
          <w:rFonts w:ascii="宋体" w:hAnsi="宋体" w:eastAsia="宋体" w:cs="Times New Roman"/>
          <w:b/>
          <w:color w:val="000000"/>
          <w:szCs w:val="28"/>
        </w:rPr>
      </w:pPr>
      <w:r>
        <w:rPr>
          <w:rFonts w:hint="eastAsia" w:ascii="宋体" w:hAnsi="宋体" w:eastAsia="宋体" w:cs="Times New Roman"/>
          <w:b/>
          <w:color w:val="000000"/>
          <w:szCs w:val="28"/>
        </w:rPr>
        <w:t>第三条  流转费用与支付方式及押金</w:t>
      </w:r>
    </w:p>
    <w:p w14:paraId="62D65231">
      <w:pPr>
        <w:spacing w:line="360" w:lineRule="auto"/>
        <w:ind w:firstLine="354" w:firstLineChars="147"/>
        <w:rPr>
          <w:rFonts w:ascii="宋体" w:hAnsi="宋体" w:eastAsia="宋体" w:cs="Times New Roman"/>
          <w:b/>
          <w:color w:val="000000"/>
          <w:sz w:val="24"/>
        </w:rPr>
      </w:pPr>
      <w:r>
        <w:rPr>
          <w:rFonts w:hint="eastAsia" w:ascii="宋体" w:hAnsi="宋体" w:eastAsia="宋体" w:cs="Times New Roman"/>
          <w:b/>
          <w:color w:val="000000"/>
          <w:sz w:val="24"/>
        </w:rPr>
        <w:t>流转费用按下列第</w:t>
      </w:r>
      <w:r>
        <w:rPr>
          <w:rFonts w:hint="eastAsia" w:ascii="宋体" w:hAnsi="宋体" w:eastAsia="宋体" w:cs="Times New Roman"/>
          <w:b/>
          <w:color w:val="000000"/>
          <w:sz w:val="24"/>
          <w:u w:val="single"/>
        </w:rPr>
        <w:t xml:space="preserve">    </w:t>
      </w:r>
      <w:r>
        <w:rPr>
          <w:rFonts w:hint="eastAsia" w:ascii="宋体" w:hAnsi="宋体" w:eastAsia="宋体" w:cs="Times New Roman"/>
          <w:b/>
          <w:color w:val="000000"/>
          <w:sz w:val="24"/>
        </w:rPr>
        <w:t>种方式计算：</w:t>
      </w:r>
    </w:p>
    <w:p w14:paraId="1DF0624D">
      <w:pPr>
        <w:spacing w:line="360" w:lineRule="auto"/>
        <w:rPr>
          <w:rFonts w:hint="eastAsia" w:ascii="Calibri" w:hAnsi="Calibri" w:eastAsia="宋体" w:cs="Times New Roman"/>
          <w:sz w:val="24"/>
          <w:lang w:val="en-US" w:eastAsia="zh-CN"/>
        </w:rPr>
      </w:pPr>
      <w:r>
        <w:rPr>
          <w:rFonts w:hint="eastAsia" w:ascii="Calibri" w:hAnsi="Calibri" w:eastAsia="宋体" w:cs="Times New Roman"/>
          <w:sz w:val="24"/>
        </w:rPr>
        <w:t>1、阶梯计费：流转期前</w:t>
      </w:r>
      <w:r>
        <w:rPr>
          <w:rFonts w:hint="eastAsia" w:ascii="Calibri" w:hAnsi="Calibri" w:eastAsia="宋体" w:cs="Times New Roman"/>
          <w:sz w:val="24"/>
          <w:u w:val="single"/>
        </w:rPr>
        <w:t xml:space="preserve">    </w:t>
      </w:r>
      <w:r>
        <w:rPr>
          <w:rFonts w:hint="eastAsia" w:ascii="Calibri" w:hAnsi="Calibri" w:eastAsia="宋体" w:cs="Times New Roman"/>
          <w:sz w:val="24"/>
        </w:rPr>
        <w:t>年每亩每年人民币</w:t>
      </w:r>
      <w:r>
        <w:rPr>
          <w:rFonts w:hint="eastAsia" w:ascii="Calibri" w:hAnsi="Calibri" w:eastAsia="宋体" w:cs="Times New Roman"/>
          <w:sz w:val="24"/>
          <w:u w:val="single"/>
        </w:rPr>
        <w:t xml:space="preserve">     </w:t>
      </w:r>
      <w:r>
        <w:rPr>
          <w:rFonts w:hint="eastAsia" w:ascii="Calibri" w:hAnsi="Calibri" w:eastAsia="宋体" w:cs="Times New Roman"/>
          <w:sz w:val="24"/>
        </w:rPr>
        <w:t>元，以此为基数，每</w:t>
      </w:r>
      <w:r>
        <w:rPr>
          <w:rFonts w:hint="eastAsia" w:ascii="Calibri" w:hAnsi="Calibri" w:eastAsia="宋体" w:cs="Times New Roman"/>
          <w:sz w:val="24"/>
          <w:u w:val="single"/>
        </w:rPr>
        <w:t xml:space="preserve">   </w:t>
      </w:r>
      <w:r>
        <w:rPr>
          <w:rFonts w:hint="eastAsia" w:ascii="Calibri" w:hAnsi="Calibri" w:eastAsia="宋体" w:cs="Times New Roman"/>
          <w:sz w:val="24"/>
        </w:rPr>
        <w:t>年    每亩每年上浮</w:t>
      </w:r>
      <w:r>
        <w:rPr>
          <w:rFonts w:hint="eastAsia" w:ascii="Calibri" w:hAnsi="Calibri" w:eastAsia="宋体" w:cs="Times New Roman"/>
          <w:sz w:val="24"/>
          <w:u w:val="single"/>
        </w:rPr>
        <w:t xml:space="preserve">       </w:t>
      </w:r>
      <w:r>
        <w:rPr>
          <w:rFonts w:hint="eastAsia" w:ascii="Calibri" w:hAnsi="Calibri" w:eastAsia="宋体" w:cs="Times New Roman"/>
          <w:sz w:val="24"/>
        </w:rPr>
        <w:t>元（或</w:t>
      </w:r>
      <w:r>
        <w:rPr>
          <w:rFonts w:hint="eastAsia" w:ascii="Calibri" w:hAnsi="Calibri" w:eastAsia="宋体" w:cs="Times New Roman"/>
          <w:sz w:val="24"/>
          <w:u w:val="single"/>
        </w:rPr>
        <w:t xml:space="preserve">    </w:t>
      </w:r>
      <w:r>
        <w:rPr>
          <w:rFonts w:hint="eastAsia" w:ascii="Calibri" w:hAnsi="Calibri" w:eastAsia="宋体" w:cs="Times New Roman"/>
          <w:sz w:val="24"/>
        </w:rPr>
        <w:t>%），至合同期满。流转费共计人民币：（大写）</w:t>
      </w:r>
      <w:r>
        <w:rPr>
          <w:rFonts w:hint="eastAsia" w:ascii="Calibri" w:hAnsi="Calibri" w:eastAsia="宋体" w:cs="Times New Roman"/>
          <w:sz w:val="24"/>
          <w:u w:val="single"/>
        </w:rPr>
        <w:t xml:space="preserve">   亿   仟   佰   拾   万   仟   佰   拾   </w:t>
      </w:r>
      <w:r>
        <w:rPr>
          <w:rFonts w:hint="eastAsia" w:ascii="Calibri" w:hAnsi="Calibri" w:eastAsia="宋体" w:cs="Times New Roman"/>
          <w:sz w:val="24"/>
        </w:rPr>
        <w:t>元整（</w:t>
      </w:r>
      <w:r>
        <w:rPr>
          <w:rFonts w:hint="eastAsia" w:ascii="Calibri" w:hAnsi="Calibri" w:eastAsia="宋体" w:cs="Times New Roman"/>
          <w:color w:val="333333"/>
          <w:sz w:val="24"/>
        </w:rPr>
        <w:t>¥</w:t>
      </w:r>
      <w:r>
        <w:rPr>
          <w:rFonts w:hint="eastAsia" w:ascii="Calibri" w:hAnsi="Calibri" w:eastAsia="宋体" w:cs="Times New Roman"/>
          <w:sz w:val="24"/>
        </w:rPr>
        <w:t>：</w:t>
      </w:r>
      <w:r>
        <w:rPr>
          <w:rFonts w:hint="eastAsia" w:ascii="Calibri" w:hAnsi="Calibri" w:eastAsia="宋体" w:cs="Times New Roman"/>
          <w:sz w:val="24"/>
          <w:u w:val="single"/>
        </w:rPr>
        <w:t xml:space="preserve">          </w:t>
      </w:r>
      <w:r>
        <w:rPr>
          <w:rFonts w:hint="eastAsia" w:ascii="Calibri" w:hAnsi="Calibri" w:eastAsia="宋体" w:cs="Times New Roman"/>
          <w:sz w:val="24"/>
        </w:rPr>
        <w:t>元）</w:t>
      </w:r>
      <w:r>
        <w:rPr>
          <w:rFonts w:hint="eastAsia" w:ascii="Calibri" w:hAnsi="Calibri" w:eastAsia="宋体" w:cs="Times New Roman"/>
          <w:sz w:val="24"/>
          <w:lang w:eastAsia="zh-CN"/>
        </w:rPr>
        <w:t>。</w:t>
      </w:r>
    </w:p>
    <w:p w14:paraId="322FE9A2">
      <w:pPr>
        <w:spacing w:line="360" w:lineRule="auto"/>
        <w:rPr>
          <w:rFonts w:ascii="Calibri" w:hAnsi="Calibri" w:eastAsia="宋体" w:cs="Times New Roman"/>
          <w:sz w:val="24"/>
        </w:rPr>
      </w:pPr>
      <w:r>
        <w:rPr>
          <w:rFonts w:hint="eastAsia" w:ascii="Calibri" w:hAnsi="Calibri" w:eastAsia="宋体" w:cs="Times New Roman"/>
          <w:sz w:val="24"/>
        </w:rPr>
        <w:t>2、固定计费：每亩每年人民币</w:t>
      </w:r>
      <w:r>
        <w:rPr>
          <w:rFonts w:hint="eastAsia" w:ascii="Calibri" w:hAnsi="Calibri" w:eastAsia="宋体" w:cs="Times New Roman"/>
          <w:sz w:val="24"/>
          <w:u w:val="single"/>
        </w:rPr>
        <w:t xml:space="preserve">    </w:t>
      </w:r>
      <w:r>
        <w:rPr>
          <w:rFonts w:hint="eastAsia" w:ascii="Calibri" w:hAnsi="Calibri" w:eastAsia="宋体" w:cs="Times New Roman"/>
          <w:sz w:val="24"/>
        </w:rPr>
        <w:t>元，共流转</w:t>
      </w:r>
      <w:r>
        <w:rPr>
          <w:rFonts w:hint="eastAsia" w:ascii="Calibri" w:hAnsi="Calibri" w:eastAsia="宋体" w:cs="Times New Roman"/>
          <w:sz w:val="24"/>
          <w:u w:val="single"/>
        </w:rPr>
        <w:t xml:space="preserve">    </w:t>
      </w:r>
      <w:r>
        <w:rPr>
          <w:rFonts w:hint="eastAsia" w:ascii="Calibri" w:hAnsi="Calibri" w:eastAsia="宋体" w:cs="Times New Roman"/>
          <w:sz w:val="24"/>
        </w:rPr>
        <w:t>年，流转费共计人民币：（大写）</w:t>
      </w:r>
      <w:r>
        <w:rPr>
          <w:rFonts w:hint="eastAsia" w:ascii="Calibri" w:hAnsi="Calibri" w:eastAsia="宋体" w:cs="Times New Roman"/>
          <w:sz w:val="24"/>
          <w:u w:val="single"/>
        </w:rPr>
        <w:t xml:space="preserve">   亿   仟   佰   拾   万   仟   佰   拾   </w:t>
      </w:r>
      <w:r>
        <w:rPr>
          <w:rFonts w:hint="eastAsia" w:ascii="Calibri" w:hAnsi="Calibri" w:eastAsia="宋体" w:cs="Times New Roman"/>
          <w:sz w:val="24"/>
        </w:rPr>
        <w:t>元整（¥：</w:t>
      </w:r>
      <w:r>
        <w:rPr>
          <w:rFonts w:hint="eastAsia" w:ascii="Calibri" w:hAnsi="Calibri" w:eastAsia="宋体" w:cs="Times New Roman"/>
          <w:sz w:val="24"/>
          <w:u w:val="single"/>
        </w:rPr>
        <w:t xml:space="preserve">          </w:t>
      </w:r>
      <w:r>
        <w:rPr>
          <w:rFonts w:hint="eastAsia" w:ascii="Calibri" w:hAnsi="Calibri" w:eastAsia="宋体" w:cs="Times New Roman"/>
          <w:sz w:val="24"/>
        </w:rPr>
        <w:t xml:space="preserve">元）。 </w:t>
      </w:r>
    </w:p>
    <w:p w14:paraId="6DEE1758">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Calibri" w:hAnsi="Calibri" w:eastAsia="宋体" w:cs="Times New Roman"/>
          <w:sz w:val="24"/>
        </w:rPr>
      </w:pPr>
      <w:r>
        <w:rPr>
          <w:rFonts w:hint="eastAsia" w:ascii="Calibri" w:hAnsi="Calibri" w:eastAsia="宋体" w:cs="Times New Roman"/>
          <w:sz w:val="24"/>
        </w:rPr>
        <w:t>3、其他计费方式：_________________________________________________</w:t>
      </w:r>
      <w:r>
        <w:rPr>
          <w:rFonts w:hint="eastAsia" w:ascii="Calibri" w:hAnsi="Calibri" w:eastAsia="宋体" w:cs="Times New Roman"/>
          <w:sz w:val="24"/>
          <w:lang w:val="en-US" w:eastAsia="zh-CN"/>
        </w:rPr>
        <w:t>___</w:t>
      </w:r>
      <w:r>
        <w:rPr>
          <w:rFonts w:hint="eastAsia" w:ascii="Calibri" w:hAnsi="Calibri" w:eastAsia="宋体" w:cs="Times New Roman"/>
          <w:sz w:val="24"/>
        </w:rPr>
        <w:t>__</w:t>
      </w:r>
    </w:p>
    <w:p w14:paraId="7E08909F">
      <w:pPr>
        <w:spacing w:line="360" w:lineRule="auto"/>
        <w:rPr>
          <w:rFonts w:hint="eastAsia" w:ascii="Calibri" w:hAnsi="Calibri" w:eastAsia="宋体" w:cs="Times New Roman"/>
          <w:sz w:val="24"/>
          <w:u w:val="single"/>
          <w:lang w:val="en-US" w:eastAsia="zh-CN"/>
        </w:rPr>
      </w:pPr>
      <w:r>
        <w:rPr>
          <w:rFonts w:hint="eastAsia" w:ascii="Calibri" w:hAnsi="Calibri" w:eastAsia="宋体" w:cs="Times New Roman"/>
          <w:sz w:val="24"/>
          <w:u w:val="single"/>
          <w:lang w:val="en-US" w:eastAsia="zh-CN"/>
        </w:rPr>
        <w:t xml:space="preserve">                                                                          </w:t>
      </w:r>
    </w:p>
    <w:p w14:paraId="358AE3AE">
      <w:pPr>
        <w:spacing w:line="360" w:lineRule="auto"/>
        <w:rPr>
          <w:rFonts w:hint="eastAsia" w:ascii="Calibri" w:hAnsi="Calibri" w:eastAsia="宋体" w:cs="Times New Roman"/>
          <w:sz w:val="24"/>
          <w:u w:val="single"/>
          <w:lang w:val="en-US" w:eastAsia="zh-CN"/>
        </w:rPr>
      </w:pPr>
      <w:r>
        <w:rPr>
          <w:rFonts w:hint="eastAsia" w:ascii="Calibri" w:hAnsi="Calibri" w:eastAsia="宋体" w:cs="Times New Roman"/>
          <w:sz w:val="24"/>
          <w:u w:val="single"/>
          <w:lang w:val="en-US" w:eastAsia="zh-CN"/>
        </w:rPr>
        <w:t xml:space="preserve">                                                                          </w:t>
      </w:r>
    </w:p>
    <w:p w14:paraId="3AD9BC79">
      <w:pPr>
        <w:spacing w:line="360" w:lineRule="auto"/>
        <w:rPr>
          <w:rFonts w:hint="eastAsia" w:ascii="Calibri" w:hAnsi="Calibri" w:eastAsia="宋体" w:cs="Times New Roman"/>
          <w:sz w:val="24"/>
          <w:u w:val="single"/>
          <w:lang w:val="en-US" w:eastAsia="zh-CN"/>
        </w:rPr>
      </w:pPr>
      <w:r>
        <w:rPr>
          <w:rFonts w:hint="eastAsia" w:ascii="Calibri" w:hAnsi="Calibri" w:eastAsia="宋体" w:cs="Times New Roman"/>
          <w:sz w:val="24"/>
          <w:u w:val="single"/>
          <w:lang w:val="en-US" w:eastAsia="zh-CN"/>
        </w:rPr>
        <w:t xml:space="preserve">                                                                          </w:t>
      </w:r>
    </w:p>
    <w:p w14:paraId="0AC74FCE">
      <w:pPr>
        <w:spacing w:line="360" w:lineRule="auto"/>
        <w:rPr>
          <w:rFonts w:hint="eastAsia" w:ascii="Calibri" w:hAnsi="Calibri" w:eastAsia="宋体" w:cs="Times New Roman"/>
          <w:sz w:val="24"/>
          <w:u w:val="single"/>
          <w:lang w:val="en-US" w:eastAsia="zh-CN"/>
        </w:rPr>
      </w:pPr>
      <w:r>
        <w:rPr>
          <w:rFonts w:hint="eastAsia" w:ascii="Calibri" w:hAnsi="Calibri" w:eastAsia="宋体" w:cs="Times New Roman"/>
          <w:sz w:val="24"/>
          <w:u w:val="single"/>
          <w:lang w:val="en-US" w:eastAsia="zh-CN"/>
        </w:rPr>
        <w:t xml:space="preserve">                                                                    </w:t>
      </w:r>
    </w:p>
    <w:p w14:paraId="66C09C38">
      <w:pPr>
        <w:spacing w:line="360" w:lineRule="auto"/>
        <w:rPr>
          <w:rFonts w:ascii="Calibri" w:hAnsi="Calibri" w:eastAsia="宋体" w:cs="Times New Roman"/>
          <w:color w:val="FF0000"/>
          <w:sz w:val="24"/>
          <w:u w:val="thick"/>
        </w:rPr>
      </w:pPr>
      <w:r>
        <w:rPr>
          <w:rFonts w:hint="eastAsia" w:ascii="Calibri" w:hAnsi="Calibri" w:eastAsia="宋体" w:cs="Times New Roman"/>
        </w:rPr>
        <w:t xml:space="preserve">                                                                                                                                  </w:t>
      </w:r>
    </w:p>
    <w:p w14:paraId="04B5A920">
      <w:pPr>
        <w:pStyle w:val="5"/>
        <w:spacing w:line="360" w:lineRule="auto"/>
        <w:ind w:left="0" w:leftChars="0" w:firstLine="354" w:firstLineChars="147"/>
        <w:rPr>
          <w:rFonts w:hint="eastAsia" w:ascii="宋体" w:hAnsi="宋体"/>
          <w:b/>
          <w:color w:val="000000"/>
          <w:sz w:val="24"/>
        </w:rPr>
      </w:pPr>
      <w:r>
        <w:rPr>
          <w:rFonts w:hint="eastAsia" w:ascii="宋体" w:hAnsi="宋体"/>
          <w:b/>
          <w:color w:val="000000"/>
          <w:sz w:val="24"/>
        </w:rPr>
        <w:t>流转费用按下列第</w:t>
      </w:r>
      <w:r>
        <w:rPr>
          <w:rFonts w:hint="eastAsia" w:ascii="宋体" w:hAnsi="宋体"/>
          <w:b/>
          <w:color w:val="000000"/>
          <w:sz w:val="24"/>
          <w:u w:val="single"/>
        </w:rPr>
        <w:t xml:space="preserve">    </w:t>
      </w:r>
      <w:r>
        <w:rPr>
          <w:rFonts w:hint="eastAsia" w:ascii="宋体" w:hAnsi="宋体"/>
          <w:b/>
          <w:color w:val="000000"/>
          <w:sz w:val="24"/>
        </w:rPr>
        <w:t>种方式支付：</w:t>
      </w:r>
    </w:p>
    <w:p w14:paraId="05864096">
      <w:pPr>
        <w:pStyle w:val="5"/>
        <w:spacing w:line="360" w:lineRule="auto"/>
        <w:ind w:left="0" w:leftChars="0" w:firstLine="354" w:firstLineChars="147"/>
        <w:rPr>
          <w:rFonts w:hint="eastAsia" w:ascii="宋体" w:hAnsi="宋体"/>
          <w:b/>
          <w:color w:val="000000"/>
          <w:sz w:val="24"/>
        </w:rPr>
      </w:pPr>
      <w:r>
        <w:rPr>
          <w:rFonts w:hint="eastAsia" w:ascii="宋体" w:hAnsi="宋体"/>
          <w:b/>
          <w:color w:val="000000"/>
          <w:sz w:val="24"/>
        </w:rPr>
        <w:t>流转费用由农村产权交易中心（袁州区农村产权交易有限公司）代收，中心在规定工作日内，按规定流程转交甲方。中心可在支付到期日前三个月向乙方以电话或短信方式提醒缴款日期和金额。</w:t>
      </w:r>
    </w:p>
    <w:p w14:paraId="77C3B8B8">
      <w:pPr>
        <w:spacing w:line="360" w:lineRule="auto"/>
        <w:jc w:val="left"/>
        <w:rPr>
          <w:rFonts w:ascii="Calibri" w:hAnsi="Calibri" w:eastAsia="宋体" w:cs="Times New Roman"/>
          <w:sz w:val="24"/>
        </w:rPr>
      </w:pPr>
      <w:r>
        <w:rPr>
          <w:rFonts w:hint="eastAsia" w:ascii="Calibri" w:hAnsi="Calibri" w:eastAsia="宋体" w:cs="Times New Roman"/>
          <w:sz w:val="24"/>
        </w:rPr>
        <w:t>1、按年度支付：乙方于每年的</w:t>
      </w:r>
      <w:r>
        <w:rPr>
          <w:rFonts w:hint="eastAsia" w:ascii="Calibri" w:hAnsi="Calibri" w:eastAsia="宋体" w:cs="Times New Roman"/>
          <w:sz w:val="24"/>
          <w:u w:val="single"/>
        </w:rPr>
        <w:t xml:space="preserve">    </w:t>
      </w:r>
      <w:r>
        <w:rPr>
          <w:rFonts w:hint="eastAsia" w:ascii="Calibri" w:hAnsi="Calibri" w:eastAsia="宋体" w:cs="Times New Roman"/>
          <w:sz w:val="24"/>
        </w:rPr>
        <w:t>月</w:t>
      </w:r>
      <w:r>
        <w:rPr>
          <w:rFonts w:hint="eastAsia" w:ascii="Calibri" w:hAnsi="Calibri" w:eastAsia="宋体" w:cs="Times New Roman"/>
          <w:sz w:val="24"/>
          <w:u w:val="single"/>
        </w:rPr>
        <w:t xml:space="preserve">    </w:t>
      </w:r>
      <w:r>
        <w:rPr>
          <w:rFonts w:hint="eastAsia" w:ascii="Calibri" w:hAnsi="Calibri" w:eastAsia="宋体" w:cs="Times New Roman"/>
          <w:sz w:val="24"/>
        </w:rPr>
        <w:t>日前，将全年的流转费支付给甲方。</w:t>
      </w:r>
    </w:p>
    <w:p w14:paraId="44A9A7EE">
      <w:pPr>
        <w:spacing w:line="360" w:lineRule="auto"/>
        <w:jc w:val="left"/>
        <w:rPr>
          <w:rFonts w:ascii="Calibri" w:hAnsi="Calibri" w:eastAsia="宋体" w:cs="Times New Roman"/>
          <w:sz w:val="24"/>
        </w:rPr>
      </w:pPr>
      <w:r>
        <w:rPr>
          <w:rFonts w:hint="eastAsia" w:ascii="Calibri" w:hAnsi="Calibri" w:eastAsia="宋体" w:cs="Times New Roman"/>
          <w:sz w:val="24"/>
        </w:rPr>
        <w:t>2、一次性支付：乙方于</w:t>
      </w:r>
      <w:r>
        <w:rPr>
          <w:rFonts w:hint="eastAsia" w:ascii="Calibri" w:hAnsi="Calibri" w:eastAsia="宋体" w:cs="Times New Roman"/>
          <w:sz w:val="24"/>
          <w:u w:val="single"/>
        </w:rPr>
        <w:t xml:space="preserve">       </w:t>
      </w:r>
      <w:r>
        <w:rPr>
          <w:rFonts w:hint="eastAsia" w:ascii="Calibri" w:hAnsi="Calibri" w:eastAsia="宋体" w:cs="Times New Roman"/>
          <w:sz w:val="24"/>
        </w:rPr>
        <w:t>年</w:t>
      </w:r>
      <w:r>
        <w:rPr>
          <w:rFonts w:hint="eastAsia" w:ascii="Calibri" w:hAnsi="Calibri" w:eastAsia="宋体" w:cs="Times New Roman"/>
          <w:sz w:val="24"/>
          <w:u w:val="single"/>
        </w:rPr>
        <w:t xml:space="preserve">   </w:t>
      </w:r>
      <w:r>
        <w:rPr>
          <w:rFonts w:hint="eastAsia" w:ascii="Calibri" w:hAnsi="Calibri" w:eastAsia="宋体" w:cs="Times New Roman"/>
          <w:sz w:val="24"/>
        </w:rPr>
        <w:t>月</w:t>
      </w:r>
      <w:r>
        <w:rPr>
          <w:rFonts w:hint="eastAsia" w:ascii="Calibri" w:hAnsi="Calibri" w:eastAsia="宋体" w:cs="Times New Roman"/>
          <w:sz w:val="24"/>
          <w:u w:val="single"/>
        </w:rPr>
        <w:t xml:space="preserve">    </w:t>
      </w:r>
      <w:r>
        <w:rPr>
          <w:rFonts w:hint="eastAsia" w:ascii="Calibri" w:hAnsi="Calibri" w:eastAsia="宋体" w:cs="Times New Roman"/>
          <w:sz w:val="24"/>
        </w:rPr>
        <w:t>日前，将全部流转费</w:t>
      </w:r>
      <w:r>
        <w:rPr>
          <w:rFonts w:hint="eastAsia" w:ascii="Calibri" w:hAnsi="Calibri" w:eastAsia="宋体" w:cs="Times New Roman"/>
          <w:sz w:val="24"/>
          <w:u w:val="single"/>
        </w:rPr>
        <w:t xml:space="preserve">             </w:t>
      </w:r>
      <w:r>
        <w:rPr>
          <w:rFonts w:hint="eastAsia" w:ascii="Calibri" w:hAnsi="Calibri" w:eastAsia="宋体" w:cs="Times New Roman"/>
          <w:sz w:val="24"/>
        </w:rPr>
        <w:t>元一次性支付给甲方。</w:t>
      </w:r>
    </w:p>
    <w:p w14:paraId="6FC153DF">
      <w:pPr>
        <w:spacing w:line="360" w:lineRule="auto"/>
        <w:jc w:val="left"/>
        <w:rPr>
          <w:rFonts w:ascii="Calibri" w:hAnsi="Calibri" w:eastAsia="宋体" w:cs="Times New Roman"/>
          <w:sz w:val="24"/>
        </w:rPr>
      </w:pPr>
      <w:r>
        <w:rPr>
          <w:rFonts w:hint="eastAsia" w:ascii="Calibri" w:hAnsi="Calibri" w:eastAsia="宋体" w:cs="Times New Roman"/>
          <w:sz w:val="24"/>
        </w:rPr>
        <w:t>3、分期支付：</w:t>
      </w:r>
    </w:p>
    <w:p w14:paraId="5C0E9757">
      <w:pPr>
        <w:spacing w:line="360" w:lineRule="auto"/>
        <w:rPr>
          <w:rFonts w:ascii="Calibri" w:hAnsi="Calibri" w:eastAsia="宋体" w:cs="Times New Roman"/>
          <w:sz w:val="24"/>
        </w:rPr>
      </w:pPr>
      <w:r>
        <w:rPr>
          <w:rFonts w:hint="eastAsia" w:ascii="Calibri" w:hAnsi="Calibri" w:eastAsia="宋体" w:cs="Times New Roman"/>
          <w:sz w:val="24"/>
        </w:rPr>
        <w:t>第一次支付: 乙方于</w:t>
      </w:r>
      <w:r>
        <w:rPr>
          <w:rFonts w:hint="eastAsia" w:ascii="Calibri" w:hAnsi="Calibri" w:eastAsia="宋体" w:cs="Times New Roman"/>
          <w:sz w:val="24"/>
          <w:u w:val="single"/>
        </w:rPr>
        <w:t xml:space="preserve">       </w:t>
      </w:r>
      <w:r>
        <w:rPr>
          <w:rFonts w:hint="eastAsia" w:ascii="Calibri" w:hAnsi="Calibri" w:eastAsia="宋体" w:cs="Times New Roman"/>
          <w:sz w:val="24"/>
        </w:rPr>
        <w:t>年</w:t>
      </w:r>
      <w:r>
        <w:rPr>
          <w:rFonts w:hint="eastAsia" w:ascii="Calibri" w:hAnsi="Calibri" w:eastAsia="宋体" w:cs="Times New Roman"/>
          <w:sz w:val="24"/>
          <w:u w:val="single"/>
        </w:rPr>
        <w:t xml:space="preserve">   </w:t>
      </w:r>
      <w:r>
        <w:rPr>
          <w:rFonts w:hint="eastAsia" w:ascii="Calibri" w:hAnsi="Calibri" w:eastAsia="宋体" w:cs="Times New Roman"/>
          <w:sz w:val="24"/>
        </w:rPr>
        <w:t>月</w:t>
      </w:r>
      <w:r>
        <w:rPr>
          <w:rFonts w:hint="eastAsia" w:ascii="Calibri" w:hAnsi="Calibri" w:eastAsia="宋体" w:cs="Times New Roman"/>
          <w:sz w:val="24"/>
          <w:u w:val="single"/>
        </w:rPr>
        <w:t xml:space="preserve">    </w:t>
      </w:r>
      <w:r>
        <w:rPr>
          <w:rFonts w:hint="eastAsia" w:ascii="Calibri" w:hAnsi="Calibri" w:eastAsia="宋体" w:cs="Times New Roman"/>
          <w:sz w:val="24"/>
        </w:rPr>
        <w:t xml:space="preserve">日前支付给甲方；            </w:t>
      </w:r>
    </w:p>
    <w:p w14:paraId="33A13A93">
      <w:pPr>
        <w:spacing w:line="360" w:lineRule="auto"/>
        <w:rPr>
          <w:rFonts w:ascii="Calibri" w:hAnsi="Calibri" w:eastAsia="宋体" w:cs="Times New Roman"/>
          <w:sz w:val="24"/>
        </w:rPr>
      </w:pPr>
      <w:r>
        <w:rPr>
          <w:rFonts w:hint="eastAsia" w:ascii="Calibri" w:hAnsi="Calibri" w:eastAsia="宋体" w:cs="Times New Roman"/>
          <w:sz w:val="24"/>
        </w:rPr>
        <w:t>第二次支付: 乙方于</w:t>
      </w:r>
      <w:r>
        <w:rPr>
          <w:rFonts w:hint="eastAsia" w:ascii="Calibri" w:hAnsi="Calibri" w:eastAsia="宋体" w:cs="Times New Roman"/>
          <w:sz w:val="24"/>
          <w:u w:val="single"/>
        </w:rPr>
        <w:t xml:space="preserve">       </w:t>
      </w:r>
      <w:r>
        <w:rPr>
          <w:rFonts w:hint="eastAsia" w:ascii="Calibri" w:hAnsi="Calibri" w:eastAsia="宋体" w:cs="Times New Roman"/>
          <w:sz w:val="24"/>
        </w:rPr>
        <w:t>年</w:t>
      </w:r>
      <w:r>
        <w:rPr>
          <w:rFonts w:hint="eastAsia" w:ascii="Calibri" w:hAnsi="Calibri" w:eastAsia="宋体" w:cs="Times New Roman"/>
          <w:sz w:val="24"/>
          <w:u w:val="single"/>
        </w:rPr>
        <w:t xml:space="preserve">   </w:t>
      </w:r>
      <w:r>
        <w:rPr>
          <w:rFonts w:hint="eastAsia" w:ascii="Calibri" w:hAnsi="Calibri" w:eastAsia="宋体" w:cs="Times New Roman"/>
          <w:sz w:val="24"/>
        </w:rPr>
        <w:t>月</w:t>
      </w:r>
      <w:r>
        <w:rPr>
          <w:rFonts w:hint="eastAsia" w:ascii="Calibri" w:hAnsi="Calibri" w:eastAsia="宋体" w:cs="Times New Roman"/>
          <w:sz w:val="24"/>
          <w:u w:val="single"/>
        </w:rPr>
        <w:t xml:space="preserve">    </w:t>
      </w:r>
      <w:r>
        <w:rPr>
          <w:rFonts w:hint="eastAsia" w:ascii="Calibri" w:hAnsi="Calibri" w:eastAsia="宋体" w:cs="Times New Roman"/>
          <w:sz w:val="24"/>
        </w:rPr>
        <w:t>日前支付给甲方</w:t>
      </w:r>
      <w:r>
        <w:rPr>
          <w:rFonts w:hint="eastAsia" w:ascii="Calibri" w:hAnsi="Calibri" w:eastAsia="宋体" w:cs="Times New Roman"/>
          <w:sz w:val="24"/>
          <w:lang w:eastAsia="zh-CN"/>
        </w:rPr>
        <w:t>；</w:t>
      </w:r>
      <w:r>
        <w:rPr>
          <w:rFonts w:hint="eastAsia" w:ascii="Calibri" w:hAnsi="Calibri" w:eastAsia="宋体" w:cs="Times New Roman"/>
          <w:sz w:val="24"/>
        </w:rPr>
        <w:t xml:space="preserve">             </w:t>
      </w:r>
    </w:p>
    <w:p w14:paraId="2CC4016A">
      <w:pPr>
        <w:spacing w:line="360" w:lineRule="auto"/>
        <w:rPr>
          <w:rFonts w:ascii="Calibri" w:hAnsi="Calibri" w:eastAsia="宋体" w:cs="Times New Roman"/>
          <w:sz w:val="24"/>
        </w:rPr>
      </w:pPr>
      <w:r>
        <w:rPr>
          <w:rFonts w:hint="eastAsia" w:ascii="Calibri" w:hAnsi="Calibri" w:eastAsia="宋体" w:cs="Times New Roman"/>
          <w:sz w:val="24"/>
        </w:rPr>
        <w:t>第三次支付: 乙方于</w:t>
      </w:r>
      <w:r>
        <w:rPr>
          <w:rFonts w:hint="eastAsia" w:ascii="Calibri" w:hAnsi="Calibri" w:eastAsia="宋体" w:cs="Times New Roman"/>
          <w:sz w:val="24"/>
          <w:u w:val="single"/>
        </w:rPr>
        <w:t xml:space="preserve">       </w:t>
      </w:r>
      <w:r>
        <w:rPr>
          <w:rFonts w:hint="eastAsia" w:ascii="Calibri" w:hAnsi="Calibri" w:eastAsia="宋体" w:cs="Times New Roman"/>
          <w:sz w:val="24"/>
        </w:rPr>
        <w:t>年</w:t>
      </w:r>
      <w:r>
        <w:rPr>
          <w:rFonts w:hint="eastAsia" w:ascii="Calibri" w:hAnsi="Calibri" w:eastAsia="宋体" w:cs="Times New Roman"/>
          <w:sz w:val="24"/>
          <w:u w:val="single"/>
        </w:rPr>
        <w:t xml:space="preserve">   </w:t>
      </w:r>
      <w:r>
        <w:rPr>
          <w:rFonts w:hint="eastAsia" w:ascii="Calibri" w:hAnsi="Calibri" w:eastAsia="宋体" w:cs="Times New Roman"/>
          <w:sz w:val="24"/>
        </w:rPr>
        <w:t>月</w:t>
      </w:r>
      <w:r>
        <w:rPr>
          <w:rFonts w:hint="eastAsia" w:ascii="Calibri" w:hAnsi="Calibri" w:eastAsia="宋体" w:cs="Times New Roman"/>
          <w:sz w:val="24"/>
          <w:u w:val="single"/>
        </w:rPr>
        <w:t xml:space="preserve">    </w:t>
      </w:r>
      <w:r>
        <w:rPr>
          <w:rFonts w:hint="eastAsia" w:ascii="Calibri" w:hAnsi="Calibri" w:eastAsia="宋体" w:cs="Times New Roman"/>
          <w:sz w:val="24"/>
        </w:rPr>
        <w:t>日前支付给甲方</w:t>
      </w:r>
      <w:r>
        <w:rPr>
          <w:rFonts w:hint="eastAsia" w:ascii="Calibri" w:hAnsi="Calibri" w:eastAsia="宋体" w:cs="Times New Roman"/>
          <w:sz w:val="24"/>
          <w:lang w:eastAsia="zh-CN"/>
        </w:rPr>
        <w:t>。</w:t>
      </w:r>
      <w:r>
        <w:rPr>
          <w:rFonts w:hint="eastAsia" w:ascii="Calibri" w:hAnsi="Calibri" w:eastAsia="宋体" w:cs="Times New Roman"/>
          <w:sz w:val="24"/>
        </w:rPr>
        <w:t xml:space="preserve"> </w:t>
      </w:r>
    </w:p>
    <w:p w14:paraId="265798B2">
      <w:pPr>
        <w:spacing w:line="360" w:lineRule="auto"/>
        <w:rPr>
          <w:rFonts w:hint="eastAsia" w:ascii="Calibri" w:hAnsi="Calibri" w:eastAsia="宋体" w:cs="Times New Roman"/>
          <w:sz w:val="24"/>
          <w:u w:val="single"/>
        </w:rPr>
      </w:pPr>
      <w:r>
        <w:rPr>
          <w:rFonts w:hint="eastAsia" w:ascii="Calibri" w:hAnsi="Calibri" w:eastAsia="宋体" w:cs="Times New Roman"/>
          <w:sz w:val="24"/>
        </w:rPr>
        <w:t>4、其他支付方式：___________________________________________________</w:t>
      </w:r>
      <w:r>
        <w:rPr>
          <w:rFonts w:hint="eastAsia" w:ascii="Calibri" w:hAnsi="Calibri" w:eastAsia="宋体" w:cs="Times New Roman"/>
          <w:sz w:val="24"/>
          <w:lang w:val="en-US" w:eastAsia="zh-CN"/>
        </w:rPr>
        <w:t>_</w:t>
      </w:r>
      <w:r>
        <w:rPr>
          <w:rFonts w:hint="eastAsia" w:ascii="Calibri" w:hAnsi="Calibri" w:eastAsia="宋体" w:cs="Times New Roman"/>
          <w:sz w:val="24"/>
        </w:rPr>
        <w:t>__</w:t>
      </w:r>
    </w:p>
    <w:p w14:paraId="7BEB0E77">
      <w:pPr>
        <w:pStyle w:val="2"/>
        <w:ind w:left="0" w:leftChars="0" w:firstLine="0" w:firstLineChars="0"/>
        <w:rPr>
          <w:rFonts w:hint="default" w:eastAsiaTheme="minorEastAsia"/>
          <w:u w:val="single"/>
          <w:lang w:val="en-US" w:eastAsia="zh-CN"/>
        </w:rPr>
      </w:pPr>
      <w:r>
        <w:rPr>
          <w:rFonts w:hint="eastAsia"/>
          <w:u w:val="single"/>
          <w:lang w:val="en-US" w:eastAsia="zh-CN"/>
        </w:rPr>
        <w:t xml:space="preserve">                                                                            </w:t>
      </w:r>
    </w:p>
    <w:p w14:paraId="7185DF69">
      <w:pPr>
        <w:spacing w:line="360" w:lineRule="auto"/>
        <w:ind w:firstLine="354" w:firstLineChars="147"/>
        <w:rPr>
          <w:rFonts w:hint="eastAsia" w:ascii="宋体" w:hAnsi="宋体" w:eastAsia="宋体" w:cs="Times New Roman"/>
          <w:b/>
          <w:color w:val="000000"/>
          <w:sz w:val="24"/>
          <w:lang w:val="en-US" w:eastAsia="zh-CN"/>
        </w:rPr>
      </w:pPr>
      <w:r>
        <w:rPr>
          <w:rFonts w:hint="eastAsia" w:ascii="宋体" w:hAnsi="宋体" w:eastAsia="宋体" w:cs="Times New Roman"/>
          <w:b/>
          <w:color w:val="000000"/>
          <w:sz w:val="24"/>
          <w:lang w:val="en-US" w:eastAsia="zh-CN"/>
        </w:rPr>
        <w:t>村管理费</w:t>
      </w:r>
    </w:p>
    <w:p w14:paraId="2165A98E">
      <w:pPr>
        <w:pStyle w:val="2"/>
        <w:rPr>
          <w:rFonts w:hint="default" w:ascii="Calibri" w:hAnsi="Calibri" w:eastAsia="宋体" w:cs="Times New Roman"/>
          <w:kern w:val="2"/>
          <w:sz w:val="24"/>
          <w:szCs w:val="22"/>
          <w:lang w:val="en-US" w:eastAsia="zh-CN" w:bidi="ar-SA"/>
        </w:rPr>
      </w:pPr>
      <w:r>
        <w:rPr>
          <w:rFonts w:hint="default" w:ascii="Calibri" w:hAnsi="Calibri" w:eastAsia="宋体" w:cs="Times New Roman"/>
          <w:kern w:val="2"/>
          <w:sz w:val="24"/>
          <w:szCs w:val="22"/>
          <w:lang w:val="en-US" w:eastAsia="zh-CN" w:bidi="ar-SA"/>
        </w:rPr>
        <w:t>乙方应按</w:t>
      </w:r>
      <w:r>
        <w:rPr>
          <w:rFonts w:hint="eastAsia" w:ascii="Calibri" w:hAnsi="Calibri" w:eastAsia="宋体" w:cs="Times New Roman"/>
          <w:kern w:val="2"/>
          <w:sz w:val="24"/>
          <w:szCs w:val="22"/>
          <w:lang w:val="en-US" w:eastAsia="zh-CN" w:bidi="ar-SA"/>
        </w:rPr>
        <w:t>不超过</w:t>
      </w:r>
      <w:r>
        <w:rPr>
          <w:rFonts w:hint="default" w:ascii="Calibri" w:hAnsi="Calibri" w:eastAsia="宋体" w:cs="Times New Roman"/>
          <w:kern w:val="2"/>
          <w:sz w:val="24"/>
          <w:szCs w:val="22"/>
          <w:lang w:val="en-US" w:eastAsia="zh-CN" w:bidi="ar-SA"/>
        </w:rPr>
        <w:t>每期租金的1</w:t>
      </w:r>
      <w:r>
        <w:rPr>
          <w:rFonts w:hint="eastAsia" w:ascii="Calibri" w:hAnsi="Calibri" w:eastAsia="宋体" w:cs="Times New Roman"/>
          <w:kern w:val="2"/>
          <w:sz w:val="24"/>
          <w:szCs w:val="22"/>
          <w:lang w:val="en-US" w:eastAsia="zh-CN" w:bidi="ar-SA"/>
        </w:rPr>
        <w:t>0</w:t>
      </w:r>
      <w:r>
        <w:rPr>
          <w:rFonts w:hint="default" w:ascii="Calibri" w:hAnsi="Calibri" w:eastAsia="宋体" w:cs="Times New Roman"/>
          <w:kern w:val="2"/>
          <w:sz w:val="24"/>
          <w:szCs w:val="22"/>
          <w:lang w:val="en-US" w:eastAsia="zh-CN" w:bidi="ar-SA"/>
        </w:rPr>
        <w:t>%的标准向甲方支付村管理费</w:t>
      </w:r>
      <w:r>
        <w:rPr>
          <w:rFonts w:hint="eastAsia" w:ascii="Calibri" w:hAnsi="Calibri" w:eastAsia="宋体" w:cs="Times New Roman"/>
          <w:kern w:val="2"/>
          <w:sz w:val="24"/>
          <w:szCs w:val="22"/>
          <w:u w:val="single"/>
          <w:lang w:val="en-US" w:eastAsia="zh-CN" w:bidi="ar-SA"/>
        </w:rPr>
        <w:t xml:space="preserve">                   </w:t>
      </w:r>
      <w:r>
        <w:rPr>
          <w:rFonts w:hint="default" w:ascii="Calibri" w:hAnsi="Calibri" w:eastAsia="宋体" w:cs="Times New Roman"/>
          <w:kern w:val="2"/>
          <w:sz w:val="24"/>
          <w:szCs w:val="22"/>
          <w:lang w:val="en-US" w:eastAsia="zh-CN" w:bidi="ar-SA"/>
        </w:rPr>
        <w:t>，与每期租金同时支付。</w:t>
      </w:r>
    </w:p>
    <w:p w14:paraId="095AB07F">
      <w:pPr>
        <w:pStyle w:val="2"/>
        <w:rPr>
          <w:rFonts w:hint="default"/>
          <w:lang w:val="en-US" w:eastAsia="zh-CN"/>
        </w:rPr>
      </w:pPr>
    </w:p>
    <w:p w14:paraId="23D71CDD">
      <w:pPr>
        <w:spacing w:line="360" w:lineRule="auto"/>
        <w:ind w:firstLine="354" w:firstLineChars="147"/>
      </w:pPr>
      <w:r>
        <w:rPr>
          <w:rFonts w:hint="eastAsia" w:ascii="宋体" w:hAnsi="宋体" w:eastAsia="宋体" w:cs="Times New Roman"/>
          <w:b/>
          <w:color w:val="000000"/>
          <w:sz w:val="24"/>
        </w:rPr>
        <w:t>押金</w:t>
      </w:r>
    </w:p>
    <w:p w14:paraId="0528FE6C">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乙方向甲方支付押金</w:t>
      </w:r>
      <w:r>
        <w:rPr>
          <w:rFonts w:hint="eastAsia" w:ascii="Calibri" w:hAnsi="Calibri" w:eastAsia="宋体" w:cs="Times New Roman"/>
          <w:sz w:val="24"/>
          <w:u w:val="single"/>
        </w:rPr>
        <w:t xml:space="preserve">          </w:t>
      </w:r>
      <w:r>
        <w:rPr>
          <w:rFonts w:hint="eastAsia" w:ascii="Calibri" w:hAnsi="Calibri" w:eastAsia="宋体" w:cs="Times New Roman"/>
          <w:sz w:val="24"/>
        </w:rPr>
        <w:t>元整。甲乙双方同意，押金可用于抵扣最后一年的租金，乙方正常履约，合同期满后，甲方应将剩余押金（扣除最后一年租金）不计息返还给乙方；乙方未按照合同约定履约的，甲方有权将押金作为违约金进行扣留。</w:t>
      </w:r>
    </w:p>
    <w:p w14:paraId="47D10918">
      <w:pPr>
        <w:spacing w:line="360" w:lineRule="auto"/>
        <w:rPr>
          <w:rFonts w:ascii="Calibri" w:hAnsi="Calibri" w:eastAsia="宋体" w:cs="Times New Roman"/>
          <w:sz w:val="24"/>
        </w:rPr>
      </w:pPr>
      <w:r>
        <w:rPr>
          <w:rFonts w:hint="eastAsia" w:ascii="Calibri" w:hAnsi="Calibri" w:eastAsia="宋体" w:cs="Times New Roman"/>
          <w:sz w:val="24"/>
          <w:u w:val="single"/>
        </w:rPr>
        <w:t xml:space="preserve">                                                                                                                                                </w:t>
      </w:r>
      <w:r>
        <w:rPr>
          <w:rFonts w:hint="eastAsia" w:ascii="Calibri" w:hAnsi="Calibri" w:eastAsia="宋体" w:cs="Times New Roman"/>
          <w:u w:val="single"/>
        </w:rPr>
        <w:t xml:space="preserve">                                                                                                                                       </w:t>
      </w:r>
      <w:r>
        <w:rPr>
          <w:rFonts w:hint="eastAsia" w:ascii="宋体" w:hAnsi="宋体" w:eastAsia="宋体" w:cs="Times New Roman"/>
          <w:b/>
          <w:color w:val="000000"/>
          <w:szCs w:val="28"/>
        </w:rPr>
        <w:t>第四条  甲方的权利和义务</w:t>
      </w:r>
    </w:p>
    <w:p w14:paraId="7FF526CC">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1、甲方与发包方的土地承包关系不变，甲方继续履行土地承包合同规定的权利和义务。</w:t>
      </w:r>
    </w:p>
    <w:p w14:paraId="29C3A250">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2、合同期满，甲方有权按照合同约定收回乙方流转的土地。</w:t>
      </w:r>
    </w:p>
    <w:p w14:paraId="26F1D7C4">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3、有权监督乙方合理利用、保护流转土地，制止乙方损坏流转土地和其他农业资源的行为，并有权要求乙方赔偿由此造成的损失。</w:t>
      </w:r>
    </w:p>
    <w:p w14:paraId="7B5FD7E6">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4、流转土地被依法征收、占用时，有权依法获得相应的土地补偿费和安置补助费。</w:t>
      </w:r>
    </w:p>
    <w:p w14:paraId="07153EBB">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5、尊重乙方的生产经营自主权，不得干涉乙方正常的生产经营活动。</w:t>
      </w:r>
    </w:p>
    <w:p w14:paraId="7CE75A1C">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6、甲方不得干涉乙方依法进行正常的生产经营活动。</w:t>
      </w:r>
    </w:p>
    <w:p w14:paraId="20A19C6A">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7、乙方正常生产所需的水、电、路等配套设施，甲方应负责协调，但不承担任何费用和责任。</w:t>
      </w:r>
    </w:p>
    <w:p w14:paraId="3BEC5095">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8、法律、法规规定的其他权利和义务。</w:t>
      </w:r>
    </w:p>
    <w:p w14:paraId="7DD1F308">
      <w:pPr>
        <w:spacing w:line="360" w:lineRule="auto"/>
        <w:jc w:val="left"/>
        <w:rPr>
          <w:rFonts w:ascii="宋体" w:hAnsi="宋体" w:eastAsia="宋体" w:cs="Times New Roman"/>
          <w:b/>
          <w:color w:val="000000"/>
          <w:szCs w:val="28"/>
        </w:rPr>
      </w:pPr>
      <w:r>
        <w:rPr>
          <w:rFonts w:hint="eastAsia" w:ascii="宋体" w:hAnsi="宋体" w:eastAsia="宋体" w:cs="Times New Roman"/>
          <w:b/>
          <w:color w:val="000000"/>
          <w:szCs w:val="28"/>
        </w:rPr>
        <w:t>第五条  乙方的权利和义务</w:t>
      </w:r>
    </w:p>
    <w:p w14:paraId="1205E9BE">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1、依法享有生产经营自主权、产品处置权和产品收益权。</w:t>
      </w:r>
    </w:p>
    <w:p w14:paraId="53246948">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2、按照国家和本</w:t>
      </w:r>
      <w:r>
        <w:rPr>
          <w:rFonts w:hint="eastAsia" w:ascii="Calibri" w:hAnsi="Calibri" w:eastAsia="宋体" w:cs="Times New Roman"/>
          <w:sz w:val="24"/>
          <w:lang w:val="en-US" w:eastAsia="zh-CN"/>
        </w:rPr>
        <w:t>区</w:t>
      </w:r>
      <w:r>
        <w:rPr>
          <w:rFonts w:hint="eastAsia" w:ascii="Calibri" w:hAnsi="Calibri" w:eastAsia="宋体" w:cs="Times New Roman"/>
          <w:sz w:val="24"/>
        </w:rPr>
        <w:t>有关规定享受政策性补贴。</w:t>
      </w:r>
    </w:p>
    <w:p w14:paraId="4436E242">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3、依法保护、利用土地，不得用于非农建设，不得随意弃耕抛荒，不得损坏农田水利设施，不得给土地造成永久性损害。</w:t>
      </w:r>
    </w:p>
    <w:p w14:paraId="6A44FCA7">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4、流转期间，土地被依法征收、占用时，乙方应服从，但有权获得相应的青苗补偿费和投入建设的地上附着物补偿费。</w:t>
      </w:r>
    </w:p>
    <w:p w14:paraId="2AE51878">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5、流转到期时，及时向甲方交还流转的土地或者协商继续流转。</w:t>
      </w:r>
    </w:p>
    <w:p w14:paraId="4A5786D4">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6、乙方有权使用流转土地内的机井等农田水利设施，并负责日常维护，但因此产生的水费、电费等各种费用由乙方负责。合同到期，乙方应将承包土地内的机井等农田水利设施交还甲方，如有损坏，乙方应赔偿甲方由此产生的维修费用和由此造成的损失。</w:t>
      </w:r>
    </w:p>
    <w:p w14:paraId="0A1E7A10">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7、乙方严格按照本合同第一条约定的土地用途使用土地。</w:t>
      </w:r>
    </w:p>
    <w:p w14:paraId="788C233F">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8、流转到期时，乙方应及时向甲方交还流转的土地。</w:t>
      </w:r>
    </w:p>
    <w:p w14:paraId="1BDF3B30">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9、法律、法规规定的其他权利和义务。</w:t>
      </w:r>
    </w:p>
    <w:p w14:paraId="1C93F0B4">
      <w:pPr>
        <w:spacing w:line="360" w:lineRule="auto"/>
        <w:jc w:val="left"/>
        <w:rPr>
          <w:rFonts w:ascii="宋体" w:hAnsi="宋体" w:eastAsia="宋体" w:cs="Times New Roman"/>
          <w:b/>
          <w:color w:val="000000"/>
          <w:szCs w:val="28"/>
        </w:rPr>
      </w:pPr>
      <w:r>
        <w:rPr>
          <w:rFonts w:hint="eastAsia" w:ascii="宋体" w:hAnsi="宋体" w:eastAsia="宋体" w:cs="Times New Roman"/>
          <w:b/>
          <w:color w:val="000000"/>
          <w:szCs w:val="28"/>
        </w:rPr>
        <w:t>第六条  违约责任</w:t>
      </w:r>
    </w:p>
    <w:p w14:paraId="61217B02">
      <w:pPr>
        <w:spacing w:line="360" w:lineRule="auto"/>
        <w:ind w:firstLine="480" w:firstLineChars="200"/>
        <w:rPr>
          <w:rFonts w:ascii="Calibri" w:hAnsi="Calibri" w:eastAsia="宋体" w:cs="Times New Roman"/>
          <w:sz w:val="24"/>
        </w:rPr>
      </w:pPr>
      <w:r>
        <w:rPr>
          <w:rFonts w:hint="eastAsia" w:ascii="Calibri" w:hAnsi="Calibri" w:eastAsia="宋体" w:cs="宋体"/>
          <w:sz w:val="24"/>
        </w:rPr>
        <w:t>1、</w:t>
      </w:r>
      <w:r>
        <w:rPr>
          <w:rFonts w:hint="eastAsia" w:ascii="Calibri" w:hAnsi="Calibri" w:eastAsia="宋体" w:cs="Times New Roman"/>
          <w:sz w:val="24"/>
        </w:rPr>
        <w:t>因变更或解除本合同使一方遭受损失的，除依法可免除责任外，应由责任方负责赔偿。</w:t>
      </w:r>
    </w:p>
    <w:p w14:paraId="19272CE7">
      <w:pPr>
        <w:spacing w:line="360" w:lineRule="auto"/>
        <w:ind w:firstLine="480" w:firstLineChars="200"/>
        <w:rPr>
          <w:rFonts w:ascii="Calibri" w:hAnsi="Calibri" w:eastAsia="宋体" w:cs="Times New Roman"/>
          <w:sz w:val="24"/>
        </w:rPr>
      </w:pPr>
      <w:r>
        <w:rPr>
          <w:rFonts w:hint="eastAsia" w:ascii="Calibri" w:hAnsi="Calibri" w:eastAsia="宋体" w:cs="宋体"/>
          <w:sz w:val="24"/>
        </w:rPr>
        <w:t>2、</w:t>
      </w:r>
      <w:r>
        <w:rPr>
          <w:rFonts w:hint="eastAsia" w:ascii="Calibri" w:hAnsi="Calibri" w:eastAsia="宋体" w:cs="Times New Roman"/>
          <w:sz w:val="24"/>
        </w:rPr>
        <w:t>甲方非法干预乙方生产经营活动，给乙方造成损失的，应予以赔偿。</w:t>
      </w:r>
    </w:p>
    <w:p w14:paraId="733F147E">
      <w:pPr>
        <w:spacing w:line="360" w:lineRule="auto"/>
        <w:ind w:firstLine="480" w:firstLineChars="200"/>
        <w:rPr>
          <w:rFonts w:ascii="Calibri" w:hAnsi="Calibri" w:eastAsia="宋体" w:cs="Times New Roman"/>
          <w:sz w:val="24"/>
        </w:rPr>
      </w:pPr>
      <w:r>
        <w:rPr>
          <w:rFonts w:hint="eastAsia" w:ascii="Calibri" w:hAnsi="Calibri" w:eastAsia="宋体" w:cs="宋体"/>
          <w:sz w:val="24"/>
        </w:rPr>
        <w:t>3、</w:t>
      </w:r>
      <w:r>
        <w:rPr>
          <w:rFonts w:hint="eastAsia" w:ascii="Calibri" w:hAnsi="Calibri" w:eastAsia="宋体" w:cs="Times New Roman"/>
          <w:sz w:val="24"/>
        </w:rPr>
        <w:t>乙方逾期支付流转费，每延迟一天，按应支付费用的</w:t>
      </w:r>
      <w:r>
        <w:rPr>
          <w:rFonts w:hint="eastAsia" w:ascii="Calibri" w:hAnsi="Calibri" w:eastAsia="宋体" w:cs="Times New Roman"/>
          <w:sz w:val="24"/>
          <w:u w:val="single"/>
        </w:rPr>
        <w:t xml:space="preserve">  </w:t>
      </w:r>
      <w:r>
        <w:rPr>
          <w:rFonts w:hint="eastAsia" w:ascii="Calibri" w:hAnsi="Calibri" w:eastAsia="宋体" w:cs="Times New Roman"/>
          <w:sz w:val="24"/>
        </w:rPr>
        <w:t>%承担违约金，</w:t>
      </w:r>
      <w:r>
        <w:rPr>
          <w:rFonts w:hint="eastAsia" w:ascii="Calibri" w:hAnsi="Calibri" w:eastAsia="宋体" w:cs="Times New Roman"/>
          <w:sz w:val="24"/>
          <w:lang w:eastAsia="zh-CN"/>
        </w:rPr>
        <w:t>逾</w:t>
      </w:r>
      <w:r>
        <w:rPr>
          <w:rFonts w:hint="eastAsia" w:ascii="Calibri" w:hAnsi="Calibri" w:eastAsia="宋体" w:cs="Times New Roman"/>
          <w:sz w:val="24"/>
        </w:rPr>
        <w:t>期超过</w:t>
      </w:r>
      <w:r>
        <w:rPr>
          <w:rFonts w:hint="eastAsia" w:ascii="Calibri" w:hAnsi="Calibri" w:eastAsia="宋体" w:cs="Times New Roman"/>
          <w:sz w:val="24"/>
          <w:u w:val="single"/>
        </w:rPr>
        <w:t xml:space="preserve">   </w:t>
      </w:r>
      <w:r>
        <w:rPr>
          <w:rFonts w:hint="eastAsia" w:ascii="Calibri" w:hAnsi="Calibri" w:eastAsia="宋体" w:cs="Times New Roman"/>
          <w:sz w:val="24"/>
        </w:rPr>
        <w:t>天，甲方有权无偿收回乙方承包的土地，终止合同。</w:t>
      </w:r>
    </w:p>
    <w:p w14:paraId="7C35D074">
      <w:pPr>
        <w:spacing w:line="360" w:lineRule="auto"/>
        <w:ind w:firstLine="480" w:firstLineChars="200"/>
        <w:rPr>
          <w:rFonts w:ascii="Calibri" w:hAnsi="Calibri" w:eastAsia="宋体" w:cs="Times New Roman"/>
          <w:sz w:val="24"/>
        </w:rPr>
      </w:pPr>
      <w:r>
        <w:rPr>
          <w:rFonts w:hint="eastAsia" w:ascii="Calibri" w:hAnsi="Calibri" w:eastAsia="宋体" w:cs="宋体"/>
          <w:sz w:val="24"/>
        </w:rPr>
        <w:t>4、</w:t>
      </w:r>
      <w:r>
        <w:rPr>
          <w:rFonts w:hint="eastAsia" w:ascii="Calibri" w:hAnsi="Calibri" w:eastAsia="宋体" w:cs="Times New Roman"/>
          <w:sz w:val="24"/>
        </w:rPr>
        <w:t>乙方不按合同约定使用土地，改变土地用途、破坏水利等基本设施或给土地造成永久性损害的，甲方有权解除合同，并由乙方向甲方支付赔偿金。</w:t>
      </w:r>
    </w:p>
    <w:p w14:paraId="491ACBA6">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5、甲乙双方任何一方违反合同约定，均应向守约方偿付违约金人民币（大写）</w:t>
      </w:r>
      <w:r>
        <w:rPr>
          <w:rFonts w:hint="eastAsia" w:ascii="Calibri" w:hAnsi="Calibri" w:eastAsia="宋体" w:cs="Times New Roman"/>
          <w:sz w:val="24"/>
          <w:u w:val="single"/>
        </w:rPr>
        <w:t xml:space="preserve">           </w:t>
      </w:r>
      <w:r>
        <w:rPr>
          <w:rFonts w:hint="eastAsia" w:ascii="Calibri" w:hAnsi="Calibri" w:eastAsia="宋体" w:cs="Times New Roman"/>
          <w:sz w:val="24"/>
        </w:rPr>
        <w:t>万元（</w:t>
      </w:r>
      <w:r>
        <w:rPr>
          <w:rFonts w:hint="eastAsia" w:ascii="Calibri" w:hAnsi="Calibri" w:eastAsia="宋体" w:cs="Times New Roman"/>
          <w:color w:val="333333"/>
          <w:sz w:val="24"/>
        </w:rPr>
        <w:t>¥</w:t>
      </w:r>
      <w:r>
        <w:rPr>
          <w:rFonts w:hint="eastAsia" w:ascii="Calibri" w:hAnsi="Calibri" w:eastAsia="宋体" w:cs="Times New Roman"/>
          <w:sz w:val="24"/>
        </w:rPr>
        <w:t>：</w:t>
      </w:r>
      <w:r>
        <w:rPr>
          <w:rFonts w:hint="eastAsia" w:ascii="Calibri" w:hAnsi="Calibri" w:eastAsia="宋体" w:cs="Times New Roman"/>
          <w:sz w:val="24"/>
          <w:u w:val="single"/>
        </w:rPr>
        <w:t xml:space="preserve">       </w:t>
      </w:r>
      <w:r>
        <w:rPr>
          <w:rFonts w:hint="eastAsia" w:ascii="Calibri" w:hAnsi="Calibri" w:eastAsia="宋体" w:cs="Times New Roman"/>
          <w:sz w:val="24"/>
        </w:rPr>
        <w:t>万元），违约金不足以弥补对方实际损失的，守约方享有继续追索赔偿的权利。</w:t>
      </w:r>
    </w:p>
    <w:p w14:paraId="53195293">
      <w:pPr>
        <w:spacing w:line="360" w:lineRule="auto"/>
        <w:jc w:val="left"/>
        <w:rPr>
          <w:rFonts w:ascii="宋体" w:hAnsi="宋体" w:eastAsia="宋体" w:cs="Times New Roman"/>
          <w:b/>
          <w:color w:val="000000"/>
          <w:szCs w:val="28"/>
        </w:rPr>
      </w:pPr>
      <w:r>
        <w:rPr>
          <w:rFonts w:hint="eastAsia" w:ascii="宋体" w:hAnsi="宋体" w:eastAsia="宋体" w:cs="Times New Roman"/>
          <w:b/>
          <w:color w:val="000000"/>
          <w:szCs w:val="28"/>
        </w:rPr>
        <w:t>第七条、纠纷处理</w:t>
      </w:r>
    </w:p>
    <w:p w14:paraId="02768CD6">
      <w:pPr>
        <w:spacing w:line="360" w:lineRule="auto"/>
        <w:ind w:firstLine="480" w:firstLineChars="200"/>
        <w:rPr>
          <w:rFonts w:ascii="Calibri" w:hAnsi="Calibri" w:eastAsia="宋体" w:cs="宋体"/>
          <w:sz w:val="24"/>
        </w:rPr>
      </w:pPr>
      <w:r>
        <w:rPr>
          <w:rFonts w:hint="eastAsia" w:ascii="宋体" w:hAnsi="宋体" w:eastAsia="宋体" w:cs="宋体"/>
          <w:color w:val="000000"/>
          <w:sz w:val="24"/>
        </w:rPr>
        <w:t>1</w:t>
      </w:r>
      <w:r>
        <w:rPr>
          <w:rFonts w:hint="eastAsia" w:ascii="Calibri" w:hAnsi="Calibri" w:eastAsia="宋体" w:cs="宋体"/>
          <w:sz w:val="24"/>
        </w:rPr>
        <w:t>、因土地承包经营发生纠纷的，双方当事人可以通过协商解决，也可以请求村民委员会、乡</w:t>
      </w:r>
      <w:r>
        <w:rPr>
          <w:rFonts w:hint="eastAsia" w:ascii="Calibri" w:hAnsi="Calibri" w:eastAsia="宋体" w:cs="宋体"/>
          <w:sz w:val="24"/>
          <w:lang w:val="en-US" w:eastAsia="zh-CN"/>
        </w:rPr>
        <w:t>镇</w:t>
      </w:r>
      <w:r>
        <w:rPr>
          <w:rFonts w:hint="eastAsia" w:ascii="Calibri" w:hAnsi="Calibri" w:eastAsia="宋体" w:cs="宋体"/>
          <w:sz w:val="24"/>
        </w:rPr>
        <w:t>（</w:t>
      </w:r>
      <w:r>
        <w:rPr>
          <w:rFonts w:hint="eastAsia" w:ascii="Calibri" w:hAnsi="Calibri" w:eastAsia="宋体" w:cs="宋体"/>
          <w:sz w:val="24"/>
          <w:lang w:val="en-US" w:eastAsia="zh-CN"/>
        </w:rPr>
        <w:t>街道</w:t>
      </w:r>
      <w:r>
        <w:rPr>
          <w:rFonts w:hint="eastAsia" w:ascii="Calibri" w:hAnsi="Calibri" w:eastAsia="宋体" w:cs="宋体"/>
          <w:sz w:val="24"/>
        </w:rPr>
        <w:t>）人民政府或者街道办事处等调解解决。</w:t>
      </w:r>
    </w:p>
    <w:p w14:paraId="7ACC0939">
      <w:pPr>
        <w:spacing w:line="360" w:lineRule="auto"/>
        <w:ind w:firstLine="480" w:firstLineChars="200"/>
        <w:rPr>
          <w:rFonts w:ascii="Calibri" w:hAnsi="Calibri" w:eastAsia="宋体" w:cs="宋体"/>
          <w:sz w:val="24"/>
        </w:rPr>
      </w:pPr>
      <w:r>
        <w:rPr>
          <w:rFonts w:hint="eastAsia" w:ascii="Calibri" w:hAnsi="Calibri" w:eastAsia="宋体" w:cs="宋体"/>
          <w:sz w:val="24"/>
        </w:rPr>
        <w:t>2、当事人不愿协商、调解或者协商、调解不成的，可以向农村土地承包仲裁机构申请仲裁，也可以直接向人民法院起诉。</w:t>
      </w:r>
    </w:p>
    <w:p w14:paraId="0FF7C8FF">
      <w:pPr>
        <w:spacing w:line="360" w:lineRule="auto"/>
        <w:jc w:val="left"/>
        <w:rPr>
          <w:rFonts w:ascii="宋体" w:hAnsi="宋体" w:eastAsia="宋体" w:cs="Times New Roman"/>
          <w:b/>
          <w:color w:val="000000"/>
          <w:szCs w:val="28"/>
        </w:rPr>
      </w:pPr>
      <w:r>
        <w:rPr>
          <w:rFonts w:hint="eastAsia" w:ascii="宋体" w:hAnsi="宋体" w:eastAsia="宋体" w:cs="Times New Roman"/>
          <w:b/>
          <w:color w:val="000000"/>
          <w:szCs w:val="28"/>
        </w:rPr>
        <w:t>第八条  特别约定</w:t>
      </w:r>
    </w:p>
    <w:p w14:paraId="55BEFAFA">
      <w:pPr>
        <w:spacing w:line="360" w:lineRule="auto"/>
        <w:ind w:firstLine="480" w:firstLineChars="200"/>
        <w:rPr>
          <w:rFonts w:ascii="宋体" w:hAnsi="宋体" w:eastAsia="宋体" w:cs="宋体"/>
          <w:color w:val="000000"/>
          <w:sz w:val="24"/>
        </w:rPr>
      </w:pPr>
      <w:r>
        <w:rPr>
          <w:rFonts w:hint="eastAsia" w:ascii="宋体" w:hAnsi="宋体" w:eastAsia="宋体" w:cs="宋体"/>
          <w:color w:val="000000"/>
          <w:sz w:val="24"/>
        </w:rPr>
        <w:t>1、 本合同订立后，双方应将合同报发包方、乡</w:t>
      </w:r>
      <w:r>
        <w:rPr>
          <w:rFonts w:hint="eastAsia" w:ascii="宋体" w:hAnsi="宋体" w:eastAsia="宋体" w:cs="宋体"/>
          <w:color w:val="000000"/>
          <w:sz w:val="24"/>
          <w:lang w:val="en-US" w:eastAsia="zh-CN"/>
        </w:rPr>
        <w:t>镇</w:t>
      </w:r>
      <w:r>
        <w:rPr>
          <w:rFonts w:hint="eastAsia" w:ascii="宋体" w:hAnsi="宋体" w:eastAsia="宋体" w:cs="宋体"/>
          <w:color w:val="000000"/>
          <w:sz w:val="24"/>
          <w:lang w:eastAsia="zh-CN"/>
        </w:rPr>
        <w:t>（</w:t>
      </w:r>
      <w:r>
        <w:rPr>
          <w:rFonts w:hint="eastAsia" w:ascii="宋体" w:hAnsi="宋体" w:eastAsia="宋体" w:cs="宋体"/>
          <w:color w:val="000000"/>
          <w:sz w:val="24"/>
        </w:rPr>
        <w:t>街道）、 农村土地承包管理部门备案。</w:t>
      </w:r>
    </w:p>
    <w:p w14:paraId="3CB1555E">
      <w:pPr>
        <w:spacing w:line="360" w:lineRule="auto"/>
        <w:ind w:firstLine="480" w:firstLineChars="200"/>
        <w:rPr>
          <w:rFonts w:ascii="宋体" w:hAnsi="宋体" w:eastAsia="宋体" w:cs="宋体"/>
          <w:color w:val="000000"/>
          <w:sz w:val="24"/>
        </w:rPr>
      </w:pPr>
      <w:r>
        <w:rPr>
          <w:rFonts w:hint="eastAsia" w:ascii="宋体" w:hAnsi="宋体" w:eastAsia="宋体" w:cs="宋体"/>
          <w:color w:val="000000"/>
          <w:sz w:val="24"/>
        </w:rPr>
        <w:t>2、本合同订立后，乙方对所流转土地进行流转，需经甲方书面同意。</w:t>
      </w:r>
    </w:p>
    <w:p w14:paraId="10110E90">
      <w:pPr>
        <w:spacing w:line="360" w:lineRule="auto"/>
        <w:ind w:firstLine="480" w:firstLineChars="200"/>
        <w:rPr>
          <w:rFonts w:ascii="宋体" w:hAnsi="宋体" w:eastAsia="宋体" w:cs="宋体"/>
          <w:color w:val="000000"/>
          <w:sz w:val="24"/>
        </w:rPr>
      </w:pPr>
      <w:r>
        <w:rPr>
          <w:rFonts w:hint="eastAsia" w:ascii="宋体" w:hAnsi="宋体" w:eastAsia="宋体" w:cs="宋体"/>
          <w:color w:val="000000"/>
          <w:sz w:val="24"/>
        </w:rPr>
        <w:t>3、流转经营期间，除耕地地力保护补贴由甲方享受外，其他惠农补贴政策归乙方享受。</w:t>
      </w:r>
    </w:p>
    <w:p w14:paraId="37C9F0C8">
      <w:pPr>
        <w:spacing w:line="360" w:lineRule="auto"/>
        <w:ind w:firstLine="480" w:firstLineChars="200"/>
        <w:rPr>
          <w:rFonts w:ascii="宋体" w:hAnsi="宋体" w:eastAsia="宋体" w:cs="宋体"/>
          <w:color w:val="000000"/>
          <w:sz w:val="24"/>
        </w:rPr>
      </w:pPr>
      <w:r>
        <w:rPr>
          <w:rFonts w:hint="eastAsia" w:ascii="宋体" w:hAnsi="宋体" w:eastAsia="宋体" w:cs="宋体"/>
          <w:color w:val="000000"/>
          <w:sz w:val="24"/>
        </w:rPr>
        <w:t>4、流转经营期间，种植业政策性农业保险保费由乙方交纳，理赔款由乙方享受。</w:t>
      </w:r>
    </w:p>
    <w:p w14:paraId="19769F9D">
      <w:pPr>
        <w:spacing w:line="360" w:lineRule="auto"/>
        <w:ind w:firstLine="480" w:firstLineChars="200"/>
        <w:rPr>
          <w:rFonts w:ascii="宋体" w:hAnsi="宋体" w:eastAsia="宋体" w:cs="宋体"/>
          <w:color w:val="000000"/>
          <w:sz w:val="24"/>
        </w:rPr>
      </w:pPr>
      <w:r>
        <w:rPr>
          <w:rFonts w:hint="eastAsia" w:ascii="宋体" w:hAnsi="宋体" w:eastAsia="宋体" w:cs="宋体"/>
          <w:color w:val="000000"/>
          <w:sz w:val="24"/>
        </w:rPr>
        <w:t>5、合同期满，若甲方继续流转该土地，乙方在同等条件下有优先权。</w:t>
      </w:r>
    </w:p>
    <w:p w14:paraId="06D02518">
      <w:pPr>
        <w:spacing w:line="360" w:lineRule="auto"/>
        <w:ind w:firstLine="480" w:firstLineChars="200"/>
        <w:rPr>
          <w:rFonts w:ascii="宋体" w:hAnsi="宋体" w:eastAsia="宋体" w:cs="宋体"/>
          <w:color w:val="000000"/>
          <w:sz w:val="24"/>
        </w:rPr>
      </w:pPr>
      <w:r>
        <w:rPr>
          <w:rFonts w:hint="eastAsia" w:ascii="宋体" w:hAnsi="宋体" w:eastAsia="宋体" w:cs="宋体"/>
          <w:color w:val="000000"/>
          <w:sz w:val="24"/>
        </w:rPr>
        <w:t>6、合同到期，乙方应及时拆除己方购置和投入建设的地上设施及附着物，恢复土地原貌。否则，地上设施及附着物无偿归甲方所有。</w:t>
      </w:r>
    </w:p>
    <w:p w14:paraId="1FD32C53">
      <w:pPr>
        <w:spacing w:line="360" w:lineRule="auto"/>
        <w:ind w:firstLine="480" w:firstLineChars="200"/>
        <w:rPr>
          <w:rFonts w:ascii="宋体" w:hAnsi="宋体" w:eastAsia="宋体" w:cs="宋体"/>
          <w:color w:val="000000"/>
          <w:sz w:val="24"/>
        </w:rPr>
      </w:pPr>
      <w:r>
        <w:rPr>
          <w:rFonts w:hint="eastAsia" w:ascii="宋体" w:hAnsi="宋体" w:eastAsia="宋体" w:cs="宋体"/>
          <w:color w:val="000000"/>
          <w:sz w:val="24"/>
        </w:rPr>
        <w:t>7、合同到期前六个月，如双方未就续约事宜达成书面协议，则甲方可另行挂牌流转，若甲方与新的受让方达成流转协议，则乙方应在本合同到期时交还标的资产，不得妨碍新的受让方使用。</w:t>
      </w:r>
    </w:p>
    <w:p w14:paraId="0F1050AE">
      <w:pPr>
        <w:spacing w:line="360" w:lineRule="auto"/>
        <w:ind w:firstLine="310" w:firstLineChars="147"/>
        <w:rPr>
          <w:rFonts w:ascii="宋体" w:hAnsi="宋体" w:eastAsia="宋体" w:cs="Times New Roman"/>
          <w:b/>
          <w:bCs/>
          <w:color w:val="000000"/>
          <w:szCs w:val="28"/>
        </w:rPr>
      </w:pPr>
      <w:r>
        <w:rPr>
          <w:rFonts w:hint="eastAsia" w:ascii="宋体" w:hAnsi="宋体" w:eastAsia="宋体" w:cs="Times New Roman"/>
          <w:b/>
          <w:bCs/>
          <w:color w:val="000000"/>
          <w:szCs w:val="28"/>
        </w:rPr>
        <w:t>第九条  合同的生效</w:t>
      </w:r>
    </w:p>
    <w:p w14:paraId="5E3A044C">
      <w:pPr>
        <w:spacing w:after="120" w:line="360" w:lineRule="auto"/>
        <w:ind w:firstLine="540"/>
        <w:rPr>
          <w:rFonts w:ascii="宋体" w:hAnsi="宋体" w:eastAsia="宋体" w:cs="宋体"/>
          <w:color w:val="000000"/>
          <w:sz w:val="24"/>
        </w:rPr>
      </w:pPr>
      <w:r>
        <w:rPr>
          <w:rFonts w:hint="eastAsia" w:ascii="宋体" w:hAnsi="宋体" w:eastAsia="宋体" w:cs="宋体"/>
          <w:color w:val="000000"/>
          <w:sz w:val="24"/>
        </w:rPr>
        <w:t>本合同自甲乙双方授权代表签字或盖章，并依法律、行政法规规定报审批机构批准，资产所有权权属方盖章后生效。</w:t>
      </w:r>
    </w:p>
    <w:p w14:paraId="5DB3F3DA">
      <w:pPr>
        <w:spacing w:after="120" w:line="360" w:lineRule="auto"/>
        <w:ind w:firstLine="316" w:firstLineChars="150"/>
        <w:rPr>
          <w:rFonts w:ascii="宋体" w:hAnsi="宋体" w:eastAsia="宋体" w:cs="宋体"/>
          <w:color w:val="000000"/>
          <w:sz w:val="24"/>
        </w:rPr>
      </w:pPr>
      <w:r>
        <w:rPr>
          <w:rFonts w:hint="eastAsia" w:ascii="宋体" w:hAnsi="宋体" w:eastAsia="宋体" w:cs="Times New Roman"/>
          <w:b/>
          <w:bCs/>
          <w:color w:val="000000"/>
          <w:szCs w:val="28"/>
        </w:rPr>
        <w:t>第十条  其他</w:t>
      </w:r>
    </w:p>
    <w:p w14:paraId="28A17F08">
      <w:pPr>
        <w:spacing w:after="120" w:line="360" w:lineRule="auto"/>
        <w:ind w:firstLine="540"/>
        <w:rPr>
          <w:rFonts w:ascii="宋体" w:hAnsi="宋体" w:eastAsia="宋体" w:cs="宋体"/>
          <w:color w:val="000000"/>
          <w:sz w:val="24"/>
        </w:rPr>
      </w:pPr>
      <w:r>
        <w:rPr>
          <w:rFonts w:hint="eastAsia" w:ascii="宋体" w:hAnsi="宋体" w:eastAsia="宋体" w:cs="宋体"/>
          <w:color w:val="000000"/>
          <w:sz w:val="24"/>
        </w:rPr>
        <w:t>1、双方对本合同内容的变更或补充应采用书面形式订立，并作为本合同的附件。本合同的附件与本合同具有同等的法律效力。</w:t>
      </w:r>
    </w:p>
    <w:p w14:paraId="3DF08BC3">
      <w:pPr>
        <w:spacing w:after="120" w:line="360" w:lineRule="auto"/>
        <w:ind w:firstLine="540"/>
        <w:rPr>
          <w:rFonts w:ascii="宋体" w:hAnsi="宋体" w:eastAsia="宋体" w:cs="宋体"/>
          <w:color w:val="000000"/>
          <w:sz w:val="24"/>
        </w:rPr>
      </w:pPr>
      <w:r>
        <w:rPr>
          <w:rFonts w:hint="eastAsia" w:ascii="宋体" w:hAnsi="宋体" w:eastAsia="宋体" w:cs="宋体"/>
          <w:color w:val="000000"/>
          <w:sz w:val="24"/>
        </w:rPr>
        <w:t>2、本合同一式</w:t>
      </w:r>
      <w:r>
        <w:rPr>
          <w:rFonts w:hint="eastAsia" w:ascii="宋体" w:hAnsi="宋体" w:eastAsia="宋体" w:cs="宋体"/>
          <w:color w:val="000000"/>
          <w:sz w:val="24"/>
          <w:lang w:val="en-US" w:eastAsia="zh-CN"/>
        </w:rPr>
        <w:t>肆</w:t>
      </w:r>
      <w:r>
        <w:rPr>
          <w:rFonts w:hint="eastAsia" w:ascii="宋体" w:hAnsi="宋体" w:eastAsia="宋体" w:cs="宋体"/>
          <w:color w:val="000000"/>
          <w:sz w:val="24"/>
        </w:rPr>
        <w:t>份，甲、乙双方各执壹份，</w:t>
      </w:r>
      <w:r>
        <w:rPr>
          <w:rFonts w:hint="eastAsia" w:ascii="宋体" w:hAnsi="宋体" w:eastAsia="宋体" w:cs="宋体"/>
          <w:color w:val="000000"/>
          <w:sz w:val="24"/>
          <w:lang w:val="en-US" w:eastAsia="zh-CN"/>
        </w:rPr>
        <w:t>袁州区</w:t>
      </w:r>
      <w:r>
        <w:rPr>
          <w:rFonts w:hint="eastAsia" w:ascii="宋体" w:hAnsi="宋体" w:eastAsia="宋体" w:cs="宋体"/>
          <w:color w:val="000000"/>
          <w:sz w:val="24"/>
        </w:rPr>
        <w:t>农村产权</w:t>
      </w:r>
      <w:bookmarkStart w:id="21" w:name="_GoBack"/>
      <w:bookmarkEnd w:id="21"/>
      <w:r>
        <w:rPr>
          <w:rFonts w:hint="eastAsia" w:ascii="宋体" w:hAnsi="宋体" w:eastAsia="宋体" w:cs="宋体"/>
          <w:color w:val="000000"/>
          <w:sz w:val="24"/>
        </w:rPr>
        <w:t>交易中心、乡</w:t>
      </w:r>
      <w:r>
        <w:rPr>
          <w:rFonts w:hint="eastAsia" w:ascii="宋体" w:hAnsi="宋体" w:eastAsia="宋体" w:cs="宋体"/>
          <w:color w:val="000000"/>
          <w:sz w:val="24"/>
          <w:lang w:val="en-US" w:eastAsia="zh-CN"/>
        </w:rPr>
        <w:t>镇</w:t>
      </w:r>
      <w:r>
        <w:rPr>
          <w:rFonts w:hint="eastAsia" w:ascii="宋体" w:hAnsi="宋体" w:eastAsia="宋体" w:cs="宋体"/>
          <w:color w:val="000000"/>
          <w:sz w:val="24"/>
          <w:lang w:eastAsia="zh-CN"/>
        </w:rPr>
        <w:t>（</w:t>
      </w:r>
      <w:r>
        <w:rPr>
          <w:rFonts w:hint="eastAsia" w:ascii="宋体" w:hAnsi="宋体" w:eastAsia="宋体" w:cs="宋体"/>
          <w:color w:val="000000"/>
          <w:sz w:val="24"/>
        </w:rPr>
        <w:t>街道）</w:t>
      </w:r>
      <w:r>
        <w:rPr>
          <w:rFonts w:hint="eastAsia" w:ascii="宋体" w:hAnsi="宋体" w:eastAsia="宋体" w:cs="宋体"/>
          <w:color w:val="000000"/>
          <w:sz w:val="24"/>
          <w:lang w:val="en-US" w:eastAsia="zh-CN"/>
        </w:rPr>
        <w:t>主管</w:t>
      </w:r>
      <w:r>
        <w:rPr>
          <w:rFonts w:hint="eastAsia" w:ascii="宋体" w:hAnsi="宋体" w:eastAsia="宋体" w:cs="宋体"/>
          <w:color w:val="000000"/>
          <w:sz w:val="24"/>
        </w:rPr>
        <w:t>部门各留存壹份用于备案。</w:t>
      </w:r>
    </w:p>
    <w:p w14:paraId="41725AF3">
      <w:pPr>
        <w:spacing w:after="120" w:line="360" w:lineRule="auto"/>
        <w:rPr>
          <w:rFonts w:ascii="宋体" w:hAnsi="宋体" w:eastAsia="宋体" w:cs="宋体"/>
          <w:color w:val="000000"/>
          <w:sz w:val="24"/>
        </w:rPr>
      </w:pPr>
    </w:p>
    <w:tbl>
      <w:tblPr>
        <w:tblStyle w:val="6"/>
        <w:tblW w:w="8522" w:type="dxa"/>
        <w:tblInd w:w="0" w:type="dxa"/>
        <w:tblLayout w:type="fixed"/>
        <w:tblCellMar>
          <w:top w:w="0" w:type="dxa"/>
          <w:left w:w="108" w:type="dxa"/>
          <w:bottom w:w="0" w:type="dxa"/>
          <w:right w:w="108" w:type="dxa"/>
        </w:tblCellMar>
      </w:tblPr>
      <w:tblGrid>
        <w:gridCol w:w="4261"/>
        <w:gridCol w:w="4261"/>
      </w:tblGrid>
      <w:tr w14:paraId="0EF79158">
        <w:tblPrEx>
          <w:tblCellMar>
            <w:top w:w="0" w:type="dxa"/>
            <w:left w:w="108" w:type="dxa"/>
            <w:bottom w:w="0" w:type="dxa"/>
            <w:right w:w="108" w:type="dxa"/>
          </w:tblCellMar>
        </w:tblPrEx>
        <w:tc>
          <w:tcPr>
            <w:tcW w:w="4261" w:type="dxa"/>
          </w:tcPr>
          <w:p w14:paraId="5869E5AF">
            <w:pPr>
              <w:spacing w:line="360" w:lineRule="auto"/>
              <w:jc w:val="left"/>
              <w:rPr>
                <w:rFonts w:ascii="宋体" w:hAnsi="宋体"/>
                <w:color w:val="000000"/>
                <w:sz w:val="24"/>
              </w:rPr>
            </w:pPr>
          </w:p>
          <w:p w14:paraId="17EB5E23">
            <w:pPr>
              <w:spacing w:line="360" w:lineRule="auto"/>
              <w:jc w:val="left"/>
              <w:rPr>
                <w:rFonts w:ascii="宋体" w:hAnsi="宋体"/>
                <w:color w:val="000000"/>
                <w:sz w:val="24"/>
              </w:rPr>
            </w:pPr>
          </w:p>
          <w:p w14:paraId="5669B401">
            <w:pPr>
              <w:spacing w:line="360" w:lineRule="auto"/>
              <w:jc w:val="left"/>
              <w:rPr>
                <w:rFonts w:ascii="宋体" w:hAnsi="宋体"/>
                <w:color w:val="000000"/>
                <w:sz w:val="24"/>
              </w:rPr>
            </w:pPr>
          </w:p>
          <w:p w14:paraId="59944BAB">
            <w:p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甲方（盖章/签字）：</w:t>
            </w:r>
          </w:p>
          <w:p w14:paraId="57A7E541">
            <w:pPr>
              <w:spacing w:line="360" w:lineRule="auto"/>
              <w:jc w:val="left"/>
              <w:rPr>
                <w:rFonts w:ascii="宋体" w:hAnsi="宋体" w:eastAsia="宋体" w:cs="Times New Roman"/>
                <w:color w:val="000000"/>
                <w:sz w:val="24"/>
              </w:rPr>
            </w:pPr>
          </w:p>
          <w:p w14:paraId="2986E27D">
            <w:pPr>
              <w:spacing w:line="360" w:lineRule="auto"/>
              <w:jc w:val="left"/>
              <w:rPr>
                <w:rFonts w:ascii="宋体" w:hAnsi="宋体" w:eastAsia="宋体" w:cs="Times New Roman"/>
                <w:color w:val="000000"/>
                <w:sz w:val="24"/>
              </w:rPr>
            </w:pPr>
            <w:r>
              <w:rPr>
                <w:rFonts w:ascii="宋体" w:hAnsi="宋体" w:eastAsia="宋体" w:cs="Times New Roman"/>
                <w:color w:val="000000"/>
                <w:sz w:val="24"/>
              </w:rPr>
              <w:t xml:space="preserve"> </w:t>
            </w:r>
          </w:p>
          <w:p w14:paraId="2165E57A">
            <w:p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委托代理人（签字）：</w:t>
            </w:r>
            <w:r>
              <w:rPr>
                <w:rFonts w:hint="eastAsia" w:ascii="宋体" w:hAnsi="宋体"/>
                <w:color w:val="000000"/>
                <w:sz w:val="24"/>
              </w:rPr>
              <w:t xml:space="preserve">                </w:t>
            </w:r>
          </w:p>
        </w:tc>
        <w:tc>
          <w:tcPr>
            <w:tcW w:w="4261" w:type="dxa"/>
          </w:tcPr>
          <w:p w14:paraId="64C482B6">
            <w:pPr>
              <w:spacing w:line="360" w:lineRule="auto"/>
              <w:jc w:val="left"/>
              <w:rPr>
                <w:rFonts w:ascii="宋体" w:hAnsi="宋体"/>
                <w:color w:val="000000"/>
                <w:sz w:val="24"/>
              </w:rPr>
            </w:pPr>
          </w:p>
          <w:p w14:paraId="382C3348">
            <w:pPr>
              <w:spacing w:line="360" w:lineRule="auto"/>
              <w:jc w:val="left"/>
              <w:rPr>
                <w:rFonts w:ascii="宋体" w:hAnsi="宋体"/>
                <w:color w:val="000000"/>
                <w:sz w:val="24"/>
              </w:rPr>
            </w:pPr>
          </w:p>
          <w:p w14:paraId="2E3914B6">
            <w:pPr>
              <w:spacing w:line="360" w:lineRule="auto"/>
              <w:jc w:val="left"/>
              <w:rPr>
                <w:rFonts w:ascii="宋体" w:hAnsi="宋体"/>
                <w:color w:val="000000"/>
                <w:sz w:val="24"/>
              </w:rPr>
            </w:pPr>
          </w:p>
          <w:p w14:paraId="72FE7DA2">
            <w:pPr>
              <w:spacing w:line="360" w:lineRule="auto"/>
              <w:jc w:val="left"/>
              <w:rPr>
                <w:rFonts w:ascii="宋体" w:hAnsi="宋体"/>
                <w:color w:val="000000"/>
                <w:sz w:val="24"/>
              </w:rPr>
            </w:pPr>
            <w:r>
              <w:rPr>
                <w:rFonts w:hint="eastAsia" w:ascii="宋体" w:hAnsi="宋体" w:eastAsia="宋体" w:cs="Times New Roman"/>
                <w:color w:val="000000"/>
                <w:sz w:val="24"/>
              </w:rPr>
              <w:t>乙方（盖章/签字）</w:t>
            </w:r>
          </w:p>
          <w:p w14:paraId="6B3A2A09">
            <w:pPr>
              <w:spacing w:line="360" w:lineRule="auto"/>
              <w:jc w:val="left"/>
              <w:rPr>
                <w:rFonts w:ascii="宋体" w:hAnsi="宋体"/>
                <w:color w:val="000000"/>
                <w:sz w:val="24"/>
              </w:rPr>
            </w:pPr>
          </w:p>
          <w:p w14:paraId="6EBDFEAB">
            <w:pPr>
              <w:spacing w:line="360" w:lineRule="auto"/>
              <w:jc w:val="left"/>
              <w:rPr>
                <w:rFonts w:ascii="宋体" w:hAnsi="宋体"/>
                <w:color w:val="000000"/>
                <w:sz w:val="24"/>
              </w:rPr>
            </w:pPr>
          </w:p>
          <w:p w14:paraId="208604CD">
            <w:p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委托代理人（签字）：</w:t>
            </w:r>
          </w:p>
        </w:tc>
      </w:tr>
      <w:tr w14:paraId="3EC43E87">
        <w:tblPrEx>
          <w:tblCellMar>
            <w:top w:w="0" w:type="dxa"/>
            <w:left w:w="108" w:type="dxa"/>
            <w:bottom w:w="0" w:type="dxa"/>
            <w:right w:w="108" w:type="dxa"/>
          </w:tblCellMar>
        </w:tblPrEx>
        <w:tc>
          <w:tcPr>
            <w:tcW w:w="4261" w:type="dxa"/>
          </w:tcPr>
          <w:p w14:paraId="6A63450E">
            <w:p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地址:</w:t>
            </w:r>
          </w:p>
        </w:tc>
        <w:tc>
          <w:tcPr>
            <w:tcW w:w="4261" w:type="dxa"/>
          </w:tcPr>
          <w:p w14:paraId="2CBCF1A6">
            <w:p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地址:</w:t>
            </w:r>
          </w:p>
        </w:tc>
      </w:tr>
      <w:tr w14:paraId="264F124C">
        <w:tblPrEx>
          <w:tblCellMar>
            <w:top w:w="0" w:type="dxa"/>
            <w:left w:w="108" w:type="dxa"/>
            <w:bottom w:w="0" w:type="dxa"/>
            <w:right w:w="108" w:type="dxa"/>
          </w:tblCellMar>
        </w:tblPrEx>
        <w:tc>
          <w:tcPr>
            <w:tcW w:w="4261" w:type="dxa"/>
          </w:tcPr>
          <w:p w14:paraId="3FF00566">
            <w:p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身份证号：</w:t>
            </w:r>
          </w:p>
        </w:tc>
        <w:tc>
          <w:tcPr>
            <w:tcW w:w="4261" w:type="dxa"/>
          </w:tcPr>
          <w:p w14:paraId="67082C31">
            <w:p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身份证号：</w:t>
            </w:r>
          </w:p>
        </w:tc>
      </w:tr>
      <w:tr w14:paraId="59EA1476">
        <w:tblPrEx>
          <w:tblCellMar>
            <w:top w:w="0" w:type="dxa"/>
            <w:left w:w="108" w:type="dxa"/>
            <w:bottom w:w="0" w:type="dxa"/>
            <w:right w:w="108" w:type="dxa"/>
          </w:tblCellMar>
        </w:tblPrEx>
        <w:tc>
          <w:tcPr>
            <w:tcW w:w="4261" w:type="dxa"/>
          </w:tcPr>
          <w:p w14:paraId="305042CF">
            <w:p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联系电话：</w:t>
            </w:r>
          </w:p>
        </w:tc>
        <w:tc>
          <w:tcPr>
            <w:tcW w:w="4261" w:type="dxa"/>
          </w:tcPr>
          <w:p w14:paraId="511C2A28">
            <w:p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联系电话：</w:t>
            </w:r>
          </w:p>
        </w:tc>
      </w:tr>
      <w:tr w14:paraId="1BFFED78">
        <w:tblPrEx>
          <w:tblCellMar>
            <w:top w:w="0" w:type="dxa"/>
            <w:left w:w="108" w:type="dxa"/>
            <w:bottom w:w="0" w:type="dxa"/>
            <w:right w:w="108" w:type="dxa"/>
          </w:tblCellMar>
        </w:tblPrEx>
        <w:tc>
          <w:tcPr>
            <w:tcW w:w="4261" w:type="dxa"/>
          </w:tcPr>
          <w:p w14:paraId="7B37DF0E">
            <w:p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年   月   日</w:t>
            </w:r>
          </w:p>
        </w:tc>
        <w:tc>
          <w:tcPr>
            <w:tcW w:w="4261" w:type="dxa"/>
          </w:tcPr>
          <w:p w14:paraId="7E593751">
            <w:p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年   月   日</w:t>
            </w:r>
          </w:p>
        </w:tc>
      </w:tr>
      <w:tr w14:paraId="7E488A80">
        <w:tblPrEx>
          <w:tblCellMar>
            <w:top w:w="0" w:type="dxa"/>
            <w:left w:w="108" w:type="dxa"/>
            <w:bottom w:w="0" w:type="dxa"/>
            <w:right w:w="108" w:type="dxa"/>
          </w:tblCellMar>
        </w:tblPrEx>
        <w:tc>
          <w:tcPr>
            <w:tcW w:w="4261" w:type="dxa"/>
          </w:tcPr>
          <w:p w14:paraId="3E532074">
            <w:pPr>
              <w:pStyle w:val="5"/>
              <w:spacing w:line="360" w:lineRule="auto"/>
              <w:ind w:left="0" w:leftChars="0" w:firstLine="0" w:firstLineChars="0"/>
            </w:pPr>
          </w:p>
        </w:tc>
        <w:tc>
          <w:tcPr>
            <w:tcW w:w="4261" w:type="dxa"/>
          </w:tcPr>
          <w:p w14:paraId="1A17538D">
            <w:pPr>
              <w:spacing w:line="360" w:lineRule="auto"/>
              <w:jc w:val="left"/>
              <w:rPr>
                <w:rFonts w:ascii="宋体" w:hAnsi="宋体" w:eastAsia="宋体" w:cs="Times New Roman"/>
                <w:color w:val="000000"/>
                <w:sz w:val="24"/>
              </w:rPr>
            </w:pPr>
          </w:p>
        </w:tc>
      </w:tr>
      <w:tr w14:paraId="14EF80E2">
        <w:tblPrEx>
          <w:tblCellMar>
            <w:top w:w="0" w:type="dxa"/>
            <w:left w:w="108" w:type="dxa"/>
            <w:bottom w:w="0" w:type="dxa"/>
            <w:right w:w="108" w:type="dxa"/>
          </w:tblCellMar>
        </w:tblPrEx>
        <w:tc>
          <w:tcPr>
            <w:tcW w:w="4261" w:type="dxa"/>
          </w:tcPr>
          <w:p w14:paraId="29A5F3AF">
            <w:pPr>
              <w:spacing w:line="360" w:lineRule="auto"/>
              <w:jc w:val="left"/>
              <w:rPr>
                <w:rFonts w:ascii="宋体" w:hAnsi="宋体" w:eastAsia="宋体" w:cs="Times New Roman"/>
                <w:color w:val="000000"/>
                <w:sz w:val="24"/>
              </w:rPr>
            </w:pPr>
          </w:p>
          <w:p w14:paraId="32273BD0">
            <w:p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村委会（盖章）</w:t>
            </w:r>
          </w:p>
          <w:p w14:paraId="73E83799">
            <w:pPr>
              <w:spacing w:line="360" w:lineRule="auto"/>
              <w:jc w:val="left"/>
              <w:rPr>
                <w:rFonts w:ascii="宋体" w:hAnsi="宋体" w:eastAsia="宋体" w:cs="Times New Roman"/>
                <w:color w:val="000000"/>
                <w:sz w:val="24"/>
              </w:rPr>
            </w:pPr>
          </w:p>
          <w:p w14:paraId="28892367">
            <w:pPr>
              <w:spacing w:line="360" w:lineRule="auto"/>
              <w:jc w:val="left"/>
              <w:rPr>
                <w:rFonts w:ascii="宋体" w:hAnsi="宋体" w:eastAsia="宋体" w:cs="Times New Roman"/>
                <w:color w:val="000000"/>
                <w:sz w:val="24"/>
              </w:rPr>
            </w:pPr>
          </w:p>
          <w:p w14:paraId="2AF70EF6">
            <w:pPr>
              <w:spacing w:line="360" w:lineRule="auto"/>
              <w:jc w:val="left"/>
              <w:rPr>
                <w:rFonts w:ascii="宋体" w:hAnsi="宋体" w:eastAsia="宋体" w:cs="Times New Roman"/>
                <w:color w:val="000000"/>
                <w:sz w:val="24"/>
              </w:rPr>
            </w:pPr>
          </w:p>
        </w:tc>
        <w:tc>
          <w:tcPr>
            <w:tcW w:w="4261" w:type="dxa"/>
          </w:tcPr>
          <w:p w14:paraId="101BFD4F">
            <w:pPr>
              <w:spacing w:line="360" w:lineRule="auto"/>
              <w:jc w:val="left"/>
              <w:rPr>
                <w:rFonts w:hint="eastAsia" w:ascii="宋体" w:hAnsi="宋体" w:eastAsia="宋体" w:cs="Times New Roman"/>
                <w:color w:val="000000"/>
                <w:sz w:val="24"/>
              </w:rPr>
            </w:pPr>
          </w:p>
          <w:p w14:paraId="50684D3F">
            <w:pPr>
              <w:spacing w:line="360" w:lineRule="auto"/>
              <w:jc w:val="left"/>
              <w:rPr>
                <w:rFonts w:ascii="宋体" w:hAnsi="宋体" w:eastAsia="宋体" w:cs="Times New Roman"/>
                <w:color w:val="000000"/>
                <w:sz w:val="24"/>
              </w:rPr>
            </w:pPr>
            <w:r>
              <w:rPr>
                <w:rFonts w:hint="eastAsia" w:ascii="宋体" w:hAnsi="宋体" w:eastAsia="宋体" w:cs="宋体"/>
                <w:color w:val="000000"/>
                <w:sz w:val="24"/>
              </w:rPr>
              <w:t>乡</w:t>
            </w:r>
            <w:r>
              <w:rPr>
                <w:rFonts w:hint="eastAsia" w:ascii="宋体" w:hAnsi="宋体" w:eastAsia="宋体" w:cs="宋体"/>
                <w:color w:val="000000"/>
                <w:sz w:val="24"/>
                <w:lang w:val="en-US" w:eastAsia="zh-CN"/>
              </w:rPr>
              <w:t>镇</w:t>
            </w:r>
            <w:r>
              <w:rPr>
                <w:rFonts w:hint="eastAsia" w:ascii="宋体" w:hAnsi="宋体" w:eastAsia="宋体" w:cs="宋体"/>
                <w:color w:val="000000"/>
                <w:sz w:val="24"/>
                <w:lang w:eastAsia="zh-CN"/>
              </w:rPr>
              <w:t>（</w:t>
            </w:r>
            <w:r>
              <w:rPr>
                <w:rFonts w:hint="eastAsia" w:ascii="宋体" w:hAnsi="宋体" w:eastAsia="宋体" w:cs="宋体"/>
                <w:color w:val="000000"/>
                <w:sz w:val="24"/>
              </w:rPr>
              <w:t>街道）</w:t>
            </w:r>
            <w:r>
              <w:rPr>
                <w:rFonts w:hint="eastAsia" w:ascii="宋体" w:hAnsi="宋体" w:eastAsia="宋体" w:cs="Times New Roman"/>
                <w:color w:val="000000"/>
                <w:sz w:val="24"/>
              </w:rPr>
              <w:t>（盖章）</w:t>
            </w:r>
          </w:p>
          <w:p w14:paraId="4984AC45">
            <w:pPr>
              <w:spacing w:line="360" w:lineRule="auto"/>
              <w:jc w:val="left"/>
              <w:rPr>
                <w:rFonts w:ascii="宋体" w:hAnsi="宋体" w:eastAsia="宋体" w:cs="Times New Roman"/>
                <w:color w:val="000000"/>
                <w:sz w:val="24"/>
              </w:rPr>
            </w:pPr>
          </w:p>
          <w:p w14:paraId="686D749B">
            <w:pPr>
              <w:spacing w:line="360" w:lineRule="auto"/>
              <w:jc w:val="left"/>
              <w:rPr>
                <w:rFonts w:ascii="宋体" w:hAnsi="宋体" w:eastAsia="宋体" w:cs="Times New Roman"/>
                <w:color w:val="000000"/>
                <w:sz w:val="24"/>
              </w:rPr>
            </w:pPr>
          </w:p>
        </w:tc>
      </w:tr>
      <w:tr w14:paraId="2CB7C5E9">
        <w:tblPrEx>
          <w:tblCellMar>
            <w:top w:w="0" w:type="dxa"/>
            <w:left w:w="108" w:type="dxa"/>
            <w:bottom w:w="0" w:type="dxa"/>
            <w:right w:w="108" w:type="dxa"/>
          </w:tblCellMar>
        </w:tblPrEx>
        <w:tc>
          <w:tcPr>
            <w:tcW w:w="8522" w:type="dxa"/>
            <w:gridSpan w:val="2"/>
          </w:tcPr>
          <w:p w14:paraId="3949080E">
            <w:pPr>
              <w:spacing w:line="360" w:lineRule="auto"/>
              <w:jc w:val="center"/>
              <w:rPr>
                <w:rFonts w:ascii="宋体" w:hAnsi="宋体" w:eastAsia="宋体" w:cs="Times New Roman"/>
                <w:color w:val="000000"/>
                <w:sz w:val="24"/>
              </w:rPr>
            </w:pPr>
            <w:r>
              <w:rPr>
                <w:rFonts w:hint="eastAsia" w:ascii="宋体" w:hAnsi="宋体" w:eastAsia="宋体" w:cs="Times New Roman"/>
                <w:color w:val="000000"/>
                <w:sz w:val="24"/>
              </w:rPr>
              <w:t xml:space="preserve">             </w:t>
            </w:r>
          </w:p>
          <w:p w14:paraId="16F9CABD">
            <w:pPr>
              <w:spacing w:line="360" w:lineRule="auto"/>
              <w:rPr>
                <w:rFonts w:ascii="宋体" w:hAnsi="宋体" w:eastAsia="宋体" w:cs="Times New Roman"/>
                <w:color w:val="000000"/>
                <w:sz w:val="24"/>
              </w:rPr>
            </w:pPr>
          </w:p>
          <w:p w14:paraId="36869AC4">
            <w:pPr>
              <w:pStyle w:val="5"/>
              <w:spacing w:line="360" w:lineRule="auto"/>
              <w:ind w:firstLine="560"/>
            </w:pPr>
          </w:p>
          <w:p w14:paraId="2D80F99E">
            <w:pPr>
              <w:spacing w:line="360" w:lineRule="auto"/>
              <w:ind w:firstLine="3840" w:firstLineChars="1600"/>
              <w:rPr>
                <w:rFonts w:ascii="宋体" w:hAnsi="宋体" w:eastAsia="宋体" w:cs="Times New Roman"/>
                <w:color w:val="000000"/>
                <w:sz w:val="24"/>
              </w:rPr>
            </w:pPr>
          </w:p>
        </w:tc>
      </w:tr>
    </w:tbl>
    <w:p w14:paraId="06A19CF1">
      <w:pPr>
        <w:rPr>
          <w:rFonts w:hint="eastAsia" w:ascii="仿宋_GB2312" w:hAnsi="仿宋_GB2312" w:eastAsia="仿宋_GB2312" w:cs="仿宋_GB2312"/>
          <w:color w:val="000000"/>
          <w:sz w:val="28"/>
          <w:szCs w:val="28"/>
        </w:rPr>
      </w:pPr>
    </w:p>
    <w:p w14:paraId="2DDDFD0D">
      <w:pPr>
        <w:rPr>
          <w:rFonts w:hint="eastAsia" w:ascii="仿宋_GB2312" w:hAnsi="仿宋_GB2312" w:eastAsia="仿宋_GB2312" w:cs="仿宋_GB2312"/>
          <w:color w:val="000000"/>
          <w:sz w:val="28"/>
          <w:szCs w:val="28"/>
        </w:rPr>
      </w:pPr>
    </w:p>
    <w:p w14:paraId="03268AC4">
      <w:pPr>
        <w:rPr>
          <w:rFonts w:hint="eastAsia" w:ascii="仿宋_GB2312" w:hAnsi="仿宋_GB2312" w:eastAsia="仿宋_GB2312" w:cs="仿宋_GB2312"/>
          <w:color w:val="000000"/>
          <w:sz w:val="28"/>
          <w:szCs w:val="28"/>
        </w:rPr>
      </w:pPr>
    </w:p>
    <w:p w14:paraId="3EDCF5EE">
      <w:pPr>
        <w:pStyle w:val="2"/>
        <w:rPr>
          <w:rFonts w:hint="eastAsia" w:ascii="仿宋_GB2312" w:hAnsi="仿宋_GB2312" w:eastAsia="仿宋_GB2312" w:cs="仿宋_GB2312"/>
          <w:color w:val="000000"/>
          <w:sz w:val="28"/>
          <w:szCs w:val="28"/>
        </w:rPr>
      </w:pPr>
    </w:p>
    <w:p w14:paraId="46997E52">
      <w:pPr>
        <w:pStyle w:val="2"/>
        <w:rPr>
          <w:rFonts w:hint="eastAsia" w:ascii="仿宋_GB2312" w:hAnsi="仿宋_GB2312" w:eastAsia="仿宋_GB2312" w:cs="仿宋_GB2312"/>
          <w:color w:val="000000"/>
          <w:sz w:val="28"/>
          <w:szCs w:val="28"/>
        </w:rPr>
      </w:pPr>
    </w:p>
    <w:p w14:paraId="639C393E">
      <w:pPr>
        <w:pStyle w:val="2"/>
        <w:rPr>
          <w:rFonts w:hint="eastAsia" w:ascii="仿宋_GB2312" w:hAnsi="仿宋_GB2312" w:eastAsia="仿宋_GB2312" w:cs="仿宋_GB2312"/>
          <w:color w:val="000000"/>
          <w:sz w:val="28"/>
          <w:szCs w:val="28"/>
        </w:rPr>
      </w:pPr>
    </w:p>
    <w:p w14:paraId="60A2E673">
      <w:pPr>
        <w:pStyle w:val="2"/>
        <w:rPr>
          <w:rFonts w:hint="eastAsia" w:ascii="仿宋_GB2312" w:hAnsi="仿宋_GB2312" w:eastAsia="仿宋_GB2312" w:cs="仿宋_GB2312"/>
          <w:color w:val="000000"/>
          <w:sz w:val="28"/>
          <w:szCs w:val="28"/>
        </w:rPr>
      </w:pPr>
    </w:p>
    <w:p w14:paraId="4E10869F">
      <w:pPr>
        <w:pStyle w:val="2"/>
        <w:rPr>
          <w:rFonts w:hint="eastAsia" w:ascii="仿宋_GB2312" w:hAnsi="仿宋_GB2312" w:eastAsia="仿宋_GB2312" w:cs="仿宋_GB2312"/>
          <w:color w:val="000000"/>
          <w:sz w:val="28"/>
          <w:szCs w:val="28"/>
        </w:rPr>
      </w:pPr>
    </w:p>
    <w:p w14:paraId="2284425F">
      <w:pPr>
        <w:rPr>
          <w:rFonts w:hint="eastAsia" w:ascii="仿宋_GB2312" w:hAnsi="仿宋_GB2312" w:eastAsia="仿宋_GB2312" w:cs="仿宋_GB2312"/>
          <w:color w:val="000000"/>
          <w:sz w:val="28"/>
          <w:szCs w:val="28"/>
        </w:rPr>
      </w:pPr>
    </w:p>
    <w:p w14:paraId="048BB70A">
      <w:pPr>
        <w:rPr>
          <w:rFonts w:hint="eastAsia" w:ascii="仿宋_GB2312" w:hAnsi="仿宋_GB2312" w:eastAsia="仿宋_GB2312" w:cs="仿宋_GB2312"/>
          <w:color w:val="000000"/>
          <w:sz w:val="28"/>
          <w:szCs w:val="28"/>
        </w:rPr>
      </w:pPr>
    </w:p>
    <w:p w14:paraId="68BB4F0B">
      <w:pPr>
        <w:rPr>
          <w:rFonts w:ascii="Calibri" w:hAnsi="Calibri" w:eastAsia="仿宋_GB2312" w:cs="仿宋_GB2312"/>
          <w:color w:val="000000"/>
          <w:sz w:val="28"/>
          <w:szCs w:val="28"/>
        </w:rPr>
      </w:pPr>
      <w:r>
        <w:rPr>
          <w:rFonts w:hint="eastAsia" w:ascii="仿宋_GB2312" w:hAnsi="仿宋_GB2312" w:eastAsia="仿宋_GB2312" w:cs="仿宋_GB2312"/>
          <w:color w:val="000000"/>
          <w:sz w:val="28"/>
          <w:szCs w:val="28"/>
        </w:rPr>
        <w:t>附件1</w:t>
      </w:r>
    </w:p>
    <w:p w14:paraId="3DC899EF">
      <w:pPr>
        <w:jc w:val="center"/>
        <w:rPr>
          <w:rFonts w:ascii="仿宋_GB2312" w:hAnsi="仿宋_GB2312" w:eastAsia="仿宋_GB2312" w:cs="仿宋_GB2312"/>
          <w:b/>
          <w:color w:val="000000"/>
          <w:sz w:val="40"/>
          <w:szCs w:val="30"/>
        </w:rPr>
      </w:pPr>
      <w:r>
        <w:rPr>
          <w:rFonts w:hint="eastAsia" w:ascii="仿宋_GB2312" w:hAnsi="仿宋_GB2312" w:eastAsia="仿宋_GB2312" w:cs="仿宋_GB2312"/>
          <w:b/>
          <w:color w:val="000000"/>
          <w:sz w:val="40"/>
          <w:szCs w:val="30"/>
        </w:rPr>
        <w:t>出租土地基本情况表</w:t>
      </w:r>
    </w:p>
    <w:p w14:paraId="0B86213E">
      <w:pPr>
        <w:pStyle w:val="5"/>
        <w:ind w:firstLine="560"/>
      </w:pPr>
    </w:p>
    <w:tbl>
      <w:tblPr>
        <w:tblStyle w:val="6"/>
        <w:tblW w:w="890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3118"/>
        <w:gridCol w:w="5075"/>
      </w:tblGrid>
      <w:tr w14:paraId="6CF31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710" w:type="dxa"/>
            <w:vAlign w:val="center"/>
          </w:tcPr>
          <w:p w14:paraId="2CBFDBB9">
            <w:pPr>
              <w:spacing w:line="600" w:lineRule="exact"/>
              <w:jc w:val="center"/>
              <w:rPr>
                <w:rFonts w:ascii="Calibri" w:hAnsi="Calibri" w:eastAsia="宋体" w:cs="Times New Roman"/>
                <w:color w:val="000000"/>
                <w:sz w:val="24"/>
              </w:rPr>
            </w:pPr>
            <w:r>
              <w:rPr>
                <w:rFonts w:hint="eastAsia" w:ascii="Calibri" w:hAnsi="Calibri" w:eastAsia="宋体" w:cs="Times New Roman"/>
                <w:color w:val="000000"/>
                <w:sz w:val="24"/>
              </w:rPr>
              <w:t>序号</w:t>
            </w:r>
          </w:p>
        </w:tc>
        <w:tc>
          <w:tcPr>
            <w:tcW w:w="3118" w:type="dxa"/>
            <w:vAlign w:val="center"/>
          </w:tcPr>
          <w:p w14:paraId="7256EDFF">
            <w:pPr>
              <w:spacing w:line="600" w:lineRule="exact"/>
              <w:jc w:val="center"/>
              <w:rPr>
                <w:rFonts w:ascii="Calibri" w:hAnsi="Calibri" w:eastAsia="宋体" w:cs="Times New Roman"/>
                <w:color w:val="000000"/>
                <w:sz w:val="24"/>
              </w:rPr>
            </w:pPr>
            <w:r>
              <w:rPr>
                <w:rFonts w:ascii="Calibri" w:hAnsi="Calibri" w:eastAsia="宋体" w:cs="Times New Roman"/>
                <w:color w:val="000000"/>
                <w:sz w:val="24"/>
              </w:rPr>
              <w:t>地块名称</w:t>
            </w:r>
          </w:p>
        </w:tc>
        <w:tc>
          <w:tcPr>
            <w:tcW w:w="5075" w:type="dxa"/>
          </w:tcPr>
          <w:p w14:paraId="38844E6A">
            <w:pPr>
              <w:spacing w:line="600" w:lineRule="exact"/>
              <w:rPr>
                <w:rFonts w:ascii="Calibri" w:hAnsi="Calibri" w:eastAsia="宋体" w:cs="Times New Roman"/>
                <w:color w:val="000000"/>
                <w:sz w:val="24"/>
              </w:rPr>
            </w:pPr>
          </w:p>
          <w:p w14:paraId="2A0B2FC4">
            <w:pPr>
              <w:spacing w:line="600" w:lineRule="exact"/>
              <w:jc w:val="center"/>
              <w:rPr>
                <w:rFonts w:ascii="Calibri" w:hAnsi="Calibri" w:eastAsia="宋体" w:cs="Times New Roman"/>
                <w:color w:val="000000"/>
                <w:sz w:val="24"/>
              </w:rPr>
            </w:pPr>
            <w:r>
              <w:rPr>
                <w:rFonts w:hint="eastAsia" w:ascii="Calibri" w:hAnsi="Calibri" w:eastAsia="宋体" w:cs="Times New Roman"/>
                <w:color w:val="000000"/>
                <w:sz w:val="24"/>
              </w:rPr>
              <w:t>四至</w:t>
            </w:r>
          </w:p>
          <w:p w14:paraId="3D983542">
            <w:pPr>
              <w:spacing w:after="120"/>
              <w:ind w:left="420" w:leftChars="200" w:firstLine="420" w:firstLineChars="200"/>
              <w:rPr>
                <w:rFonts w:ascii="Calibri" w:hAnsi="Calibri" w:eastAsia="宋体" w:cs="Times New Roman"/>
              </w:rPr>
            </w:pPr>
          </w:p>
        </w:tc>
      </w:tr>
      <w:tr w14:paraId="0CE8F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710" w:type="dxa"/>
            <w:vMerge w:val="restart"/>
            <w:vAlign w:val="center"/>
          </w:tcPr>
          <w:p w14:paraId="5BC42409">
            <w:pPr>
              <w:spacing w:line="600" w:lineRule="exact"/>
              <w:jc w:val="center"/>
              <w:rPr>
                <w:rFonts w:ascii="Calibri" w:hAnsi="Calibri" w:eastAsia="宋体" w:cs="Times New Roman"/>
                <w:color w:val="000000"/>
                <w:sz w:val="24"/>
              </w:rPr>
            </w:pPr>
            <w:r>
              <w:rPr>
                <w:rFonts w:hint="eastAsia" w:ascii="Calibri" w:hAnsi="Calibri" w:eastAsia="宋体" w:cs="Times New Roman"/>
                <w:color w:val="000000"/>
                <w:sz w:val="24"/>
              </w:rPr>
              <w:t>1</w:t>
            </w:r>
          </w:p>
        </w:tc>
        <w:tc>
          <w:tcPr>
            <w:tcW w:w="3118" w:type="dxa"/>
            <w:vMerge w:val="restart"/>
            <w:vAlign w:val="center"/>
          </w:tcPr>
          <w:p w14:paraId="06BF0DAF">
            <w:pPr>
              <w:spacing w:line="600" w:lineRule="exact"/>
              <w:jc w:val="center"/>
              <w:rPr>
                <w:rFonts w:ascii="Calibri" w:hAnsi="Calibri" w:eastAsia="宋体" w:cs="Times New Roman"/>
                <w:color w:val="000000"/>
                <w:sz w:val="24"/>
              </w:rPr>
            </w:pPr>
          </w:p>
        </w:tc>
        <w:tc>
          <w:tcPr>
            <w:tcW w:w="5075" w:type="dxa"/>
          </w:tcPr>
          <w:p w14:paraId="1687291C">
            <w:pPr>
              <w:spacing w:line="600" w:lineRule="exact"/>
              <w:rPr>
                <w:rFonts w:ascii="Calibri" w:hAnsi="Calibri" w:eastAsia="宋体" w:cs="Times New Roman"/>
                <w:color w:val="000000"/>
                <w:sz w:val="24"/>
              </w:rPr>
            </w:pPr>
            <w:r>
              <w:rPr>
                <w:rFonts w:hint="eastAsia" w:ascii="Calibri" w:hAnsi="Calibri" w:eastAsia="宋体" w:cs="Times New Roman"/>
                <w:color w:val="000000"/>
                <w:sz w:val="24"/>
              </w:rPr>
              <w:t>东至：</w:t>
            </w:r>
          </w:p>
        </w:tc>
      </w:tr>
      <w:tr w14:paraId="1B2D6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710" w:type="dxa"/>
            <w:vMerge w:val="continue"/>
            <w:vAlign w:val="center"/>
          </w:tcPr>
          <w:p w14:paraId="3FE99DA4">
            <w:pPr>
              <w:spacing w:line="600" w:lineRule="exact"/>
              <w:jc w:val="center"/>
              <w:rPr>
                <w:rFonts w:ascii="Calibri" w:hAnsi="Calibri" w:eastAsia="宋体" w:cs="Times New Roman"/>
                <w:color w:val="000000"/>
                <w:sz w:val="24"/>
              </w:rPr>
            </w:pPr>
          </w:p>
        </w:tc>
        <w:tc>
          <w:tcPr>
            <w:tcW w:w="3118" w:type="dxa"/>
            <w:vMerge w:val="continue"/>
            <w:vAlign w:val="center"/>
          </w:tcPr>
          <w:p w14:paraId="105B24BD">
            <w:pPr>
              <w:spacing w:line="600" w:lineRule="exact"/>
              <w:jc w:val="center"/>
              <w:rPr>
                <w:rFonts w:ascii="Calibri" w:hAnsi="Calibri" w:eastAsia="宋体" w:cs="Times New Roman"/>
                <w:color w:val="000000"/>
                <w:sz w:val="24"/>
              </w:rPr>
            </w:pPr>
          </w:p>
        </w:tc>
        <w:tc>
          <w:tcPr>
            <w:tcW w:w="5075" w:type="dxa"/>
          </w:tcPr>
          <w:p w14:paraId="7135B9B7">
            <w:pPr>
              <w:spacing w:line="600" w:lineRule="exact"/>
              <w:rPr>
                <w:rFonts w:ascii="Calibri" w:hAnsi="Calibri" w:eastAsia="宋体" w:cs="Times New Roman"/>
                <w:color w:val="000000"/>
                <w:sz w:val="24"/>
              </w:rPr>
            </w:pPr>
            <w:r>
              <w:rPr>
                <w:rFonts w:hint="eastAsia" w:ascii="Calibri" w:hAnsi="Calibri" w:eastAsia="宋体" w:cs="Times New Roman"/>
                <w:color w:val="000000"/>
                <w:sz w:val="24"/>
              </w:rPr>
              <w:t>南至：</w:t>
            </w:r>
          </w:p>
        </w:tc>
      </w:tr>
      <w:tr w14:paraId="4D99B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710" w:type="dxa"/>
            <w:vMerge w:val="continue"/>
            <w:vAlign w:val="center"/>
          </w:tcPr>
          <w:p w14:paraId="2F7D01B7">
            <w:pPr>
              <w:spacing w:line="600" w:lineRule="exact"/>
              <w:jc w:val="center"/>
              <w:rPr>
                <w:rFonts w:ascii="Calibri" w:hAnsi="Calibri" w:eastAsia="宋体" w:cs="Times New Roman"/>
                <w:color w:val="000000"/>
                <w:sz w:val="24"/>
              </w:rPr>
            </w:pPr>
          </w:p>
        </w:tc>
        <w:tc>
          <w:tcPr>
            <w:tcW w:w="3118" w:type="dxa"/>
            <w:vMerge w:val="continue"/>
            <w:vAlign w:val="center"/>
          </w:tcPr>
          <w:p w14:paraId="623EBFD3">
            <w:pPr>
              <w:spacing w:line="600" w:lineRule="exact"/>
              <w:jc w:val="center"/>
              <w:rPr>
                <w:rFonts w:ascii="Calibri" w:hAnsi="Calibri" w:eastAsia="宋体" w:cs="Times New Roman"/>
                <w:color w:val="000000"/>
                <w:sz w:val="24"/>
              </w:rPr>
            </w:pPr>
          </w:p>
        </w:tc>
        <w:tc>
          <w:tcPr>
            <w:tcW w:w="5075" w:type="dxa"/>
          </w:tcPr>
          <w:p w14:paraId="60CBD0D6">
            <w:pPr>
              <w:spacing w:line="600" w:lineRule="exact"/>
              <w:rPr>
                <w:rFonts w:ascii="Calibri" w:hAnsi="Calibri" w:eastAsia="宋体" w:cs="Times New Roman"/>
                <w:color w:val="000000"/>
                <w:sz w:val="24"/>
              </w:rPr>
            </w:pPr>
            <w:r>
              <w:rPr>
                <w:rFonts w:hint="eastAsia" w:ascii="Calibri" w:hAnsi="Calibri" w:eastAsia="宋体" w:cs="Times New Roman"/>
                <w:color w:val="000000"/>
                <w:sz w:val="24"/>
              </w:rPr>
              <w:t>西至：</w:t>
            </w:r>
          </w:p>
        </w:tc>
      </w:tr>
      <w:tr w14:paraId="58F9B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710" w:type="dxa"/>
            <w:vMerge w:val="continue"/>
            <w:vAlign w:val="center"/>
          </w:tcPr>
          <w:p w14:paraId="01B0FE04">
            <w:pPr>
              <w:spacing w:line="600" w:lineRule="exact"/>
              <w:jc w:val="center"/>
              <w:rPr>
                <w:rFonts w:ascii="Calibri" w:hAnsi="Calibri" w:eastAsia="宋体" w:cs="Times New Roman"/>
                <w:color w:val="000000"/>
                <w:sz w:val="24"/>
              </w:rPr>
            </w:pPr>
          </w:p>
        </w:tc>
        <w:tc>
          <w:tcPr>
            <w:tcW w:w="3118" w:type="dxa"/>
            <w:vMerge w:val="continue"/>
            <w:vAlign w:val="center"/>
          </w:tcPr>
          <w:p w14:paraId="7998B490">
            <w:pPr>
              <w:spacing w:line="600" w:lineRule="exact"/>
              <w:jc w:val="center"/>
              <w:rPr>
                <w:rFonts w:ascii="Calibri" w:hAnsi="Calibri" w:eastAsia="宋体" w:cs="Times New Roman"/>
                <w:color w:val="000000"/>
                <w:sz w:val="24"/>
              </w:rPr>
            </w:pPr>
          </w:p>
        </w:tc>
        <w:tc>
          <w:tcPr>
            <w:tcW w:w="5075" w:type="dxa"/>
          </w:tcPr>
          <w:p w14:paraId="63E031F1">
            <w:pPr>
              <w:spacing w:line="600" w:lineRule="exact"/>
              <w:rPr>
                <w:rFonts w:ascii="Calibri" w:hAnsi="Calibri" w:eastAsia="宋体" w:cs="Times New Roman"/>
                <w:color w:val="000000"/>
                <w:sz w:val="24"/>
              </w:rPr>
            </w:pPr>
            <w:r>
              <w:rPr>
                <w:rFonts w:hint="eastAsia" w:ascii="Calibri" w:hAnsi="Calibri" w:eastAsia="宋体" w:cs="Times New Roman"/>
                <w:color w:val="000000"/>
                <w:sz w:val="24"/>
              </w:rPr>
              <w:t>北至：</w:t>
            </w:r>
          </w:p>
        </w:tc>
      </w:tr>
      <w:tr w14:paraId="13C6D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710" w:type="dxa"/>
            <w:vAlign w:val="center"/>
          </w:tcPr>
          <w:p w14:paraId="076E2D04">
            <w:pPr>
              <w:spacing w:line="600" w:lineRule="exact"/>
              <w:jc w:val="center"/>
              <w:rPr>
                <w:rFonts w:ascii="Calibri" w:hAnsi="Calibri" w:eastAsia="宋体" w:cs="Times New Roman"/>
                <w:color w:val="000000"/>
                <w:sz w:val="24"/>
              </w:rPr>
            </w:pPr>
          </w:p>
        </w:tc>
        <w:tc>
          <w:tcPr>
            <w:tcW w:w="3118" w:type="dxa"/>
            <w:vAlign w:val="center"/>
          </w:tcPr>
          <w:p w14:paraId="0052DD17">
            <w:pPr>
              <w:spacing w:line="600" w:lineRule="exact"/>
              <w:jc w:val="center"/>
              <w:rPr>
                <w:rFonts w:hint="default" w:ascii="Calibri" w:hAnsi="Calibri" w:eastAsia="宋体" w:cs="Times New Roman"/>
                <w:color w:val="000000"/>
                <w:sz w:val="24"/>
                <w:lang w:val="en-US" w:eastAsia="zh-CN"/>
              </w:rPr>
            </w:pPr>
            <w:r>
              <w:rPr>
                <w:rFonts w:hint="eastAsia" w:ascii="Calibri" w:hAnsi="Calibri" w:eastAsia="宋体" w:cs="Times New Roman"/>
                <w:color w:val="000000"/>
                <w:sz w:val="24"/>
                <w:lang w:val="en-US" w:eastAsia="zh-CN"/>
              </w:rPr>
              <w:t>项目编号</w:t>
            </w:r>
          </w:p>
        </w:tc>
        <w:tc>
          <w:tcPr>
            <w:tcW w:w="5075" w:type="dxa"/>
          </w:tcPr>
          <w:p w14:paraId="2B7B0992">
            <w:pPr>
              <w:spacing w:line="600" w:lineRule="exact"/>
              <w:rPr>
                <w:rFonts w:hint="eastAsia" w:ascii="Calibri" w:hAnsi="Calibri" w:eastAsia="宋体" w:cs="Times New Roman"/>
                <w:color w:val="000000"/>
                <w:sz w:val="24"/>
              </w:rPr>
            </w:pPr>
          </w:p>
        </w:tc>
      </w:tr>
    </w:tbl>
    <w:p w14:paraId="26E3FB6A">
      <w:pPr>
        <w:rPr>
          <w:rFonts w:ascii="Calibri" w:hAnsi="Calibri" w:eastAsia="宋体" w:cs="Times New Roman"/>
        </w:rPr>
      </w:pPr>
    </w:p>
    <w:p w14:paraId="41981A40">
      <w:pPr>
        <w:spacing w:line="360" w:lineRule="auto"/>
        <w:rPr>
          <w:rFonts w:hint="default" w:ascii="宋体" w:hAnsi="宋体" w:eastAsia="宋体" w:cs="Times New Roman"/>
          <w:lang w:val="en-US" w:eastAsia="zh-CN"/>
        </w:rPr>
      </w:pPr>
      <w:r>
        <w:rPr>
          <w:rFonts w:ascii="Calibri" w:hAnsi="Calibri" w:eastAsia="宋体" w:cs="Times New Roman"/>
        </w:rPr>
        <w:t>附着物及其他情况描述</w:t>
      </w:r>
      <w:r>
        <w:rPr>
          <w:rFonts w:ascii="宋体" w:hAnsi="宋体" w:eastAsia="宋体" w:cs="Times New Roman"/>
        </w:rPr>
        <w:t>_________________________________</w:t>
      </w:r>
      <w:r>
        <w:rPr>
          <w:rFonts w:hint="eastAsia" w:ascii="宋体" w:hAnsi="宋体" w:eastAsia="宋体" w:cs="Times New Roman"/>
          <w:lang w:val="en-US" w:eastAsia="zh-CN"/>
        </w:rPr>
        <w:t>__________________________</w:t>
      </w:r>
    </w:p>
    <w:p w14:paraId="7EDE9E2D">
      <w:pPr>
        <w:spacing w:line="360" w:lineRule="auto"/>
      </w:pPr>
      <w:r>
        <w:rPr>
          <w:rFonts w:ascii="宋体" w:hAnsi="宋体"/>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w:t>
      </w:r>
    </w:p>
    <w:p w14:paraId="2A6D9D87">
      <w:pPr>
        <w:tabs>
          <w:tab w:val="left" w:pos="5565"/>
        </w:tabs>
        <w:spacing w:line="560" w:lineRule="exact"/>
        <w:ind w:right="640"/>
        <w:jc w:val="left"/>
        <w:rPr>
          <w:rFonts w:hint="eastAsia" w:ascii="宋体" w:hAnsi="宋体"/>
          <w:sz w:val="32"/>
          <w:szCs w:val="32"/>
        </w:rPr>
      </w:pPr>
    </w:p>
    <w:p w14:paraId="3EC45786">
      <w:pPr>
        <w:tabs>
          <w:tab w:val="left" w:pos="5565"/>
        </w:tabs>
        <w:spacing w:line="560" w:lineRule="exact"/>
        <w:ind w:right="640"/>
        <w:jc w:val="left"/>
        <w:rPr>
          <w:rFonts w:hint="eastAsia" w:ascii="宋体" w:hAnsi="宋体"/>
          <w:sz w:val="32"/>
          <w:szCs w:val="32"/>
        </w:rPr>
      </w:pPr>
    </w:p>
    <w:p w14:paraId="282687EF">
      <w:pPr>
        <w:pStyle w:val="2"/>
        <w:rPr>
          <w:rFonts w:hint="eastAsia" w:ascii="宋体" w:hAnsi="宋体"/>
          <w:sz w:val="32"/>
          <w:szCs w:val="32"/>
        </w:rPr>
      </w:pPr>
    </w:p>
    <w:p w14:paraId="7717DA88">
      <w:pPr>
        <w:pStyle w:val="2"/>
        <w:rPr>
          <w:rFonts w:hint="eastAsia" w:ascii="宋体" w:hAnsi="宋体"/>
          <w:sz w:val="32"/>
          <w:szCs w:val="32"/>
        </w:rPr>
      </w:pPr>
    </w:p>
    <w:p w14:paraId="680219CE">
      <w:pPr>
        <w:pStyle w:val="2"/>
        <w:rPr>
          <w:rFonts w:hint="eastAsia" w:ascii="宋体" w:hAnsi="宋体"/>
          <w:sz w:val="32"/>
          <w:szCs w:val="32"/>
        </w:rPr>
      </w:pPr>
    </w:p>
    <w:p w14:paraId="75150E0C">
      <w:pPr>
        <w:pStyle w:val="2"/>
        <w:rPr>
          <w:rFonts w:hint="eastAsia" w:ascii="宋体" w:hAnsi="宋体"/>
          <w:sz w:val="32"/>
          <w:szCs w:val="32"/>
        </w:rPr>
      </w:pPr>
    </w:p>
    <w:p w14:paraId="24F7C0A0">
      <w:pPr>
        <w:pStyle w:val="2"/>
        <w:rPr>
          <w:rFonts w:hint="eastAsia" w:ascii="宋体" w:hAnsi="宋体"/>
          <w:sz w:val="32"/>
          <w:szCs w:val="32"/>
        </w:rPr>
      </w:pPr>
    </w:p>
    <w:p w14:paraId="62BFD4DF">
      <w:pPr>
        <w:pStyle w:val="2"/>
        <w:rPr>
          <w:rFonts w:hint="eastAsia" w:ascii="宋体" w:hAnsi="宋体"/>
          <w:sz w:val="32"/>
          <w:szCs w:val="32"/>
        </w:rPr>
      </w:pPr>
    </w:p>
    <w:p w14:paraId="5EB17A6F">
      <w:pPr>
        <w:pStyle w:val="2"/>
        <w:rPr>
          <w:rFonts w:hint="eastAsia" w:ascii="宋体" w:hAnsi="宋体"/>
          <w:sz w:val="32"/>
          <w:szCs w:val="32"/>
        </w:rPr>
      </w:pPr>
    </w:p>
    <w:p w14:paraId="30096A99">
      <w:pPr>
        <w:tabs>
          <w:tab w:val="left" w:pos="5565"/>
        </w:tabs>
        <w:spacing w:line="560" w:lineRule="exact"/>
        <w:ind w:right="640"/>
        <w:jc w:val="left"/>
        <w:rPr>
          <w:rFonts w:hint="eastAsia" w:ascii="宋体" w:hAnsi="宋体"/>
          <w:sz w:val="32"/>
          <w:szCs w:val="32"/>
        </w:rPr>
      </w:pPr>
    </w:p>
    <w:p w14:paraId="5D27A818">
      <w:pPr>
        <w:spacing w:line="520" w:lineRule="exact"/>
        <w:ind w:right="1844"/>
        <w:rPr>
          <w:rFonts w:hint="eastAsia" w:ascii="仿宋" w:hAnsi="仿宋" w:eastAsia="仿宋" w:cs="Times New Roman"/>
          <w:b/>
          <w:bCs/>
          <w:color w:val="000000"/>
          <w:sz w:val="30"/>
          <w:szCs w:val="30"/>
        </w:rPr>
      </w:pPr>
      <w:r>
        <w:rPr>
          <w:rFonts w:hint="eastAsia" w:ascii="仿宋" w:hAnsi="仿宋" w:eastAsia="仿宋" w:cs="Times New Roman"/>
          <w:b/>
          <w:bCs/>
          <w:color w:val="000000"/>
          <w:sz w:val="30"/>
          <w:szCs w:val="30"/>
        </w:rPr>
        <w:t>合同编号：</w:t>
      </w:r>
    </w:p>
    <w:p w14:paraId="2A43675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5C0458"/>
    <w:rsid w:val="11FE2829"/>
    <w:rsid w:val="305C0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pageBreakBefore/>
      <w:spacing w:before="50" w:beforeLines="50" w:after="150" w:afterLines="150" w:line="400" w:lineRule="exact"/>
      <w:jc w:val="center"/>
      <w:outlineLvl w:val="0"/>
    </w:pPr>
    <w:rPr>
      <w:rFonts w:ascii="Times New Roman" w:hAnsi="Times New Roman" w:eastAsia="黑体"/>
      <w:b/>
      <w:kern w:val="44"/>
      <w:sz w:val="36"/>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ascii="Verdana" w:hAnsi="Verdana"/>
      <w:szCs w:val="20"/>
    </w:rPr>
  </w:style>
  <w:style w:type="paragraph" w:styleId="4">
    <w:name w:val="Body Text Indent"/>
    <w:basedOn w:val="1"/>
    <w:semiHidden/>
    <w:unhideWhenUsed/>
    <w:qFormat/>
    <w:uiPriority w:val="99"/>
    <w:pPr>
      <w:spacing w:after="120"/>
      <w:ind w:left="420" w:leftChars="200"/>
    </w:pPr>
  </w:style>
  <w:style w:type="paragraph" w:styleId="5">
    <w:name w:val="Body Text First Indent 2"/>
    <w:basedOn w:val="4"/>
    <w:qFormat/>
    <w:uiPriority w:val="0"/>
    <w:pPr>
      <w:ind w:firstLine="420" w:firstLineChars="200"/>
    </w:pPr>
    <w:rPr>
      <w:rFonts w:ascii="Calibri" w:hAnsi="Calibri" w:eastAsia="宋体" w:cs="Times New Roman"/>
      <w:kern w:val="0"/>
      <w:sz w:val="28"/>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2</TotalTime>
  <ScaleCrop>false</ScaleCrop>
  <LinksUpToDate>false</LinksUpToDate>
  <CharactersWithSpaces>0</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2025-12-31T01:25:00Z</dcterms:created>
  <dc:creator>admin</dc:creator>
  <cp:lastModifiedBy>admin</cp:lastModifiedBy>
  <dcterms:modified xsi:type="dcterms:W3CDTF">2026-01-06T01:59:43Z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0211F0BFC1D24AE997291EB582B50DBC_11</vt:lpwstr>
  </property>
</Properties>
</file>