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合同编号</w:t>
      </w:r>
      <w:bookmarkStart w:id="0" w:name="_GoBack"/>
      <w:bookmarkEnd w:id="0"/>
      <w:r>
        <w:rPr>
          <w:rFonts w:hint="eastAsia" w:asciiTheme="majorEastAsia" w:hAnsiTheme="majorEastAsia" w:eastAsiaTheme="majorEastAsia" w:cstheme="majorEastAsia"/>
          <w:b/>
          <w:bCs/>
          <w:szCs w:val="32"/>
        </w:rPr>
        <w:t xml:space="preserve">： </w:t>
      </w:r>
    </w:p>
    <w:p>
      <w:pPr>
        <w:spacing w:line="560" w:lineRule="exact"/>
        <w:rPr>
          <w:rFonts w:asciiTheme="majorEastAsia" w:hAnsiTheme="majorEastAsia" w:eastAsiaTheme="majorEastAsia" w:cstheme="majorEastAsia"/>
          <w:b/>
          <w:bCs/>
          <w:szCs w:val="32"/>
        </w:rPr>
      </w:pPr>
    </w:p>
    <w:p>
      <w:pPr>
        <w:spacing w:line="560" w:lineRule="exact"/>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渝水区农村集体资源性资产（四荒地）</w:t>
      </w:r>
    </w:p>
    <w:p>
      <w:pPr>
        <w:spacing w:line="560" w:lineRule="exact"/>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承包合同</w:t>
      </w:r>
    </w:p>
    <w:p>
      <w:pPr>
        <w:spacing w:line="560" w:lineRule="exact"/>
        <w:jc w:val="center"/>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（本合同适用于村集体经济组织发包</w:t>
      </w:r>
    </w:p>
    <w:p>
      <w:pPr>
        <w:spacing w:line="560" w:lineRule="exact"/>
        <w:jc w:val="center"/>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荒山、荒沟、荒丘、荒滩时使用）</w:t>
      </w:r>
    </w:p>
    <w:p>
      <w:pPr>
        <w:spacing w:line="560" w:lineRule="exact"/>
        <w:rPr>
          <w:rFonts w:asciiTheme="majorEastAsia" w:hAnsiTheme="majorEastAsia" w:eastAsiaTheme="majorEastAsia" w:cstheme="majorEastAsia"/>
          <w:szCs w:val="32"/>
        </w:rPr>
      </w:pPr>
    </w:p>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发包方（以下简称甲方）：</w:t>
      </w:r>
      <w:r>
        <w:rPr>
          <w:rFonts w:hint="eastAsia" w:asciiTheme="majorEastAsia" w:hAnsiTheme="majorEastAsia" w:eastAsiaTheme="majorEastAsia" w:cstheme="majorEastAsia"/>
          <w:b/>
          <w:bCs/>
          <w:szCs w:val="32"/>
          <w:u w:val="single"/>
        </w:rPr>
        <w:t xml:space="preserve">                                 </w:t>
      </w:r>
    </w:p>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承包方（以下简称乙方）：</w:t>
      </w:r>
      <w:r>
        <w:rPr>
          <w:rFonts w:hint="eastAsia" w:asciiTheme="majorEastAsia" w:hAnsiTheme="majorEastAsia" w:eastAsiaTheme="majorEastAsia" w:cstheme="majorEastAsia"/>
          <w:b/>
          <w:bCs/>
          <w:szCs w:val="32"/>
          <w:u w:val="single"/>
        </w:rPr>
        <w:t xml:space="preserve">                                 </w:t>
      </w:r>
    </w:p>
    <w:p>
      <w:pPr>
        <w:spacing w:line="560" w:lineRule="exact"/>
        <w:rPr>
          <w:rFonts w:asciiTheme="majorEastAsia" w:hAnsiTheme="majorEastAsia" w:eastAsiaTheme="majorEastAsia" w:cstheme="majorEastAsia"/>
          <w:szCs w:val="32"/>
        </w:rPr>
      </w:pP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为维护承包双方当事人的合法权益，根据《中华人民共和国合同法》、《中华人民共和国物权法》、《中华人民共和国农村土地承包法》、《中华人民共和国农村土地承包经营纠纷调解仲裁法》等法律、法规和国家有关政策规定以及本集体经济组织依法通过的农村集体资源性资产发包方案，甲乙双方本着平等、自愿、公平、诚信的原则，经双方协商一致，订立本合同。</w:t>
      </w:r>
    </w:p>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szCs w:val="32"/>
        </w:rPr>
        <w:t xml:space="preserve">    </w:t>
      </w:r>
      <w:r>
        <w:rPr>
          <w:rFonts w:hint="eastAsia" w:asciiTheme="majorEastAsia" w:hAnsiTheme="majorEastAsia" w:eastAsiaTheme="majorEastAsia" w:cstheme="majorEastAsia"/>
          <w:b/>
          <w:bCs/>
          <w:szCs w:val="32"/>
        </w:rPr>
        <w:t>第一条 集体资源性资产基本情况与用途</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甲方将位于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占地总面积为</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亩的四荒地（详见资源性资产基本情况表）通过渝水区农村产权交易中心以</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（招标/拍卖/公开协商）方式承包给乙方，从事</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生产经营。</w:t>
      </w:r>
    </w:p>
    <w:p>
      <w:pPr>
        <w:spacing w:line="560" w:lineRule="exact"/>
        <w:ind w:firstLine="643" w:firstLineChars="200"/>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第二条 承包期限和交付时间</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承包期限为</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年，自</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日起至</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日止。甲方应于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日之前将该四荒地交付乙方。</w:t>
      </w:r>
    </w:p>
    <w:p>
      <w:pPr>
        <w:spacing w:line="560" w:lineRule="exact"/>
        <w:ind w:firstLine="643"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b/>
          <w:bCs/>
          <w:szCs w:val="32"/>
        </w:rPr>
        <w:t>第三条 承包费用与支付方式</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承包费用按下列第</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种方式计算：</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1.实物计费货币结算方式。乙方须于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r>
        <w:rPr>
          <w:rFonts w:hint="eastAsia" w:asciiTheme="majorEastAsia" w:hAnsiTheme="majorEastAsia" w:eastAsiaTheme="majorEastAsia" w:cstheme="majorEastAsia"/>
          <w:szCs w:val="32"/>
          <w:lang w:val="en-US" w:eastAsia="zh-CN"/>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日前按每亩</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斤</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（小麦/稻谷/其他实物）的</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（市场价/当地政府收购指导价）为标准，折合成货币向甲方支付当年承包费。</w:t>
      </w:r>
    </w:p>
    <w:p>
      <w:pPr>
        <w:spacing w:line="560" w:lineRule="exact"/>
        <w:ind w:firstLine="640" w:firstLineChars="200"/>
        <w:rPr>
          <w:rFonts w:hint="eastAsia" w:asciiTheme="majorEastAsia" w:hAnsiTheme="majorEastAsia" w:eastAsiaTheme="majorEastAsia" w:cstheme="majorEastAsia"/>
          <w:szCs w:val="32"/>
          <w:lang w:val="en-US" w:eastAsia="zh-CN"/>
        </w:rPr>
      </w:pPr>
      <w:r>
        <w:rPr>
          <w:rFonts w:hint="eastAsia" w:asciiTheme="majorEastAsia" w:hAnsiTheme="majorEastAsia" w:eastAsiaTheme="majorEastAsia" w:cstheme="majorEastAsia"/>
          <w:szCs w:val="32"/>
        </w:rPr>
        <w:t>2.货币计费分期支付方式。承包费按照</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元/亩标准计算，合计</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元/年。</w:t>
      </w:r>
      <w:r>
        <w:rPr>
          <w:rFonts w:hint="eastAsia" w:asciiTheme="majorEastAsia" w:hAnsiTheme="majorEastAsia" w:eastAsiaTheme="majorEastAsia" w:cstheme="majorEastAsia"/>
          <w:szCs w:val="32"/>
          <w:lang w:eastAsia="zh-CN"/>
        </w:rPr>
        <w:t>具体分期方式为（</w:t>
      </w:r>
      <w:r>
        <w:rPr>
          <w:rFonts w:hint="eastAsia" w:asciiTheme="majorEastAsia" w:hAnsiTheme="majorEastAsia" w:eastAsiaTheme="majorEastAsia" w:cstheme="majorEastAsia"/>
          <w:szCs w:val="32"/>
          <w:lang w:val="en-US" w:eastAsia="zh-CN"/>
        </w:rPr>
        <w:t xml:space="preserve">  </w:t>
      </w:r>
      <w:r>
        <w:rPr>
          <w:rFonts w:hint="eastAsia" w:asciiTheme="majorEastAsia" w:hAnsiTheme="majorEastAsia" w:eastAsiaTheme="majorEastAsia" w:cstheme="majorEastAsia"/>
          <w:szCs w:val="32"/>
          <w:lang w:eastAsia="zh-CN"/>
        </w:rPr>
        <w:t>）</w:t>
      </w:r>
      <w:r>
        <w:rPr>
          <w:rFonts w:hint="eastAsia" w:asciiTheme="majorEastAsia" w:hAnsiTheme="majorEastAsia" w:eastAsiaTheme="majorEastAsia" w:cstheme="majorEastAsia"/>
          <w:szCs w:val="32"/>
          <w:lang w:val="en-US" w:eastAsia="zh-CN"/>
        </w:rPr>
        <w:t>种：</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lang w:eastAsia="zh-CN"/>
        </w:rPr>
        <w:t>①</w:t>
      </w:r>
      <w:r>
        <w:rPr>
          <w:rFonts w:hint="eastAsia" w:asciiTheme="majorEastAsia" w:hAnsiTheme="majorEastAsia" w:eastAsiaTheme="majorEastAsia" w:cstheme="majorEastAsia"/>
          <w:szCs w:val="32"/>
        </w:rPr>
        <w:t>乙方须于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（当/前一）年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日前支付当年承包费。</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lang w:eastAsia="zh-CN"/>
        </w:rPr>
        <w:t>②乙方</w:t>
      </w:r>
      <w:r>
        <w:rPr>
          <w:rFonts w:hint="eastAsia" w:asciiTheme="majorEastAsia" w:hAnsiTheme="majorEastAsia" w:eastAsiaTheme="majorEastAsia" w:cstheme="majorEastAsia"/>
          <w:szCs w:val="32"/>
        </w:rPr>
        <w:t>第一次支付：乙方于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日前支付给甲方</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第二次支付：乙方于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日前支付给甲方</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第三次支付：乙方于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日前支付给甲方</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3.货币计费一次性付款方式。承包费按</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元/亩·年计算，共计</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元。乙方须于</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日前支付全部承包费。</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4.其他支付方式：</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承包费用变动：</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szCs w:val="32"/>
        </w:rPr>
        <w:t xml:space="preserve">    </w:t>
      </w:r>
      <w:r>
        <w:rPr>
          <w:rFonts w:hint="eastAsia" w:asciiTheme="majorEastAsia" w:hAnsiTheme="majorEastAsia" w:eastAsiaTheme="majorEastAsia" w:cstheme="majorEastAsia"/>
          <w:b/>
          <w:bCs/>
          <w:szCs w:val="32"/>
          <w:lang w:eastAsia="zh-CN"/>
        </w:rPr>
        <w:t>注意事项</w:t>
      </w:r>
      <w:r>
        <w:rPr>
          <w:rFonts w:hint="eastAsia" w:asciiTheme="majorEastAsia" w:hAnsiTheme="majorEastAsia" w:eastAsiaTheme="majorEastAsia" w:cstheme="majorEastAsia"/>
          <w:b/>
          <w:bCs/>
          <w:szCs w:val="32"/>
        </w:rPr>
        <w:t>：每届村集体经济组织理事会或代行职能的村民委员会收取的承包费用，不得超过本届村集体经济组织理事会或代行职能的村民委员会任期的剩余期限。</w:t>
      </w:r>
    </w:p>
    <w:p>
      <w:pPr>
        <w:spacing w:line="560" w:lineRule="exact"/>
        <w:ind w:firstLine="643" w:firstLineChars="200"/>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第四条 甲方的权利和义务</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1.甲方的权利</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①有权监督乙方按合同约定依法利用和保护该四荒地，制止乙方的损害行为；</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②有权在本合同到期后收回该四荒地；</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③乙方无正当理由未支付或者延迟支付承包费的，甲方可以要求乙方在合理期限内支付。经催告后，在合理期限内乙方仍未支付的，甲方可以解除合同。</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④该发包土地被征收、征用、占用的，有权获得</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补偿。</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2.甲方的义务</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①按时交付约定发包的四荒地；</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②确认该发包四荒地权属合法、清晰，无任何与该四荒地有关的权属纠纷和经济纠纷；</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③协助乙方处理与其他承包户发生的用路、用水、用电等纠纷；</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④尊重乙方的生产经营自主权，不得干涉乙方依法进行正常的生产经营活动。</w:t>
      </w:r>
    </w:p>
    <w:p>
      <w:pPr>
        <w:spacing w:line="560" w:lineRule="exact"/>
        <w:ind w:firstLine="643"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b/>
          <w:bCs/>
          <w:szCs w:val="32"/>
        </w:rPr>
        <w:t>第五条 乙方的权利和义务</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1.乙方的权利</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①依法享有四荒地使用、收益的权利，有权自主组织生产经营和处置产品；</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②有权利用该承包四荒地上已有的开展农业生产所必需的水系、道路、构筑物等设施；</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③合同到期后，有权在同等条件下优先续包；</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④承包期间四荒地及周边土地被依法征收、征用、占用的，乙方应服从，但有权获得</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补偿。</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2.乙方的义务</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①按合同约定及时接收该承包四荒地并向甲方足额支付承包费；</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②承包期间，未经登记不得进行抵押及再流转；</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③本合同到期，应提前一个月告知甲方是否续包。不续包的，应于合同到期日交回该流转土地；</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④配合做好四荒地承包合同的审查备案工作；</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⑤负责地上设施的维护和维修，合同到期后完整交付；</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⑥为提高土地生产能力而进行设施改建，应征得甲方同意，需报有关部门批准的，按照相关规定办理；</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⑦妥善管理该承包四荒地上未列入合同的水系、道路、构筑物等设施，如需使用或变动，须征得甲方和发包方同意；</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⑧在法律法规政策和合同约定允许范围内保护和合理利用该承包四荒地，不得破坏农业综合生产能力和农业生态环境，不得撂荒土地、不得擅自改变土地用途、不得给土地造成永久性损害。</w:t>
      </w:r>
    </w:p>
    <w:p>
      <w:pPr>
        <w:spacing w:line="560" w:lineRule="exact"/>
        <w:ind w:firstLine="643" w:firstLineChars="200"/>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第六条 交付时和合同到期后地上附着物及相关设施的处理</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1.签订本合同并交付该集体资源性资产时，地上附着物及相关设施有：</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2.合同到期时，由国家或地方财政直接补助形成的财产按国家和本市有关规定处理。</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3.乙方经营期间利用除财政补助外的资金构建的地上附着物及相关设备设施按下列方式处理：</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4.合同到期该集体资源性资产恢复原状等事项的处理：</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3"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b/>
          <w:bCs/>
          <w:szCs w:val="32"/>
        </w:rPr>
        <w:t>第七条 合同变更、解除</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1.经协商一致，甲乙双方可对本合同进行变更、解除。</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2.当事人一方中途变更或解除合同的，应提前</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日书面通知对方。</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3.合同有效期内，因不可抗力导致合同无法继续履行的，当事人可以解除合同；双方应按合同解除日期，结清合同履行期间相关费用。</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4.当事人一方违约导致合同无法履行的，另一方可以解除合同。</w:t>
      </w:r>
    </w:p>
    <w:p>
      <w:pPr>
        <w:spacing w:line="560" w:lineRule="exact"/>
        <w:ind w:firstLine="643" w:firstLineChars="200"/>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第八条 违约责任</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1.因变更或解除本合同使一方遭受损失的，除依法可免除责任的情形，应向守约方支付违约金</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元。如果违约金不足以弥补守约方经济损失，违约方应据实赔偿。</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2.甲方逾期交付本合同约定的集体资源性资产，每延迟一天，按承包费用的</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%承担违约金。</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3.乙方逾期支付承包费，每延迟一天，按应支付费用的</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%承担违约金。</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4.甲方非法干预乙方生产经营活动，给乙方造成损失的，应予以赔偿。</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5.乙方私自在承包区域内取土或未经甲方书面同意私自改变土地用途和结构、破坏水利等基本设施或给土地造成永久性损害的，甲方有权解除合同，乙方应当赔偿对甲方造成的损失。</w:t>
      </w:r>
    </w:p>
    <w:p>
      <w:pPr>
        <w:spacing w:line="560" w:lineRule="exact"/>
        <w:ind w:firstLine="643"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b/>
          <w:bCs/>
          <w:szCs w:val="32"/>
        </w:rPr>
        <w:t>第九条 纠纷解决方式</w:t>
      </w:r>
    </w:p>
    <w:p>
      <w:pPr>
        <w:spacing w:line="560" w:lineRule="exact"/>
        <w:ind w:firstLine="640" w:firstLineChars="200"/>
        <w:rPr>
          <w:rFonts w:hint="eastAsia" w:asciiTheme="majorEastAsia" w:hAnsiTheme="majorEastAsia" w:eastAsiaTheme="majorEastAsia" w:cstheme="majorEastAsia"/>
          <w:szCs w:val="32"/>
          <w:lang w:val="en-US" w:eastAsia="zh-CN"/>
        </w:rPr>
      </w:pPr>
      <w:r>
        <w:rPr>
          <w:rFonts w:hint="eastAsia" w:asciiTheme="majorEastAsia" w:hAnsiTheme="majorEastAsia" w:eastAsiaTheme="majorEastAsia" w:cstheme="majorEastAsia"/>
          <w:szCs w:val="32"/>
        </w:rPr>
        <w:t>甲乙双方发生纠纷，可以协商解决，也可以请求镇（乡、街）人民政府等调解。当事人不愿协商、调解或者协商、调解不成的，</w:t>
      </w:r>
      <w:r>
        <w:rPr>
          <w:rFonts w:hint="eastAsia" w:asciiTheme="majorEastAsia" w:hAnsiTheme="majorEastAsia" w:eastAsiaTheme="majorEastAsia" w:cstheme="majorEastAsia"/>
          <w:szCs w:val="32"/>
          <w:lang w:eastAsia="zh-CN"/>
        </w:rPr>
        <w:t>按下列（</w:t>
      </w:r>
      <w:r>
        <w:rPr>
          <w:rFonts w:hint="eastAsia" w:asciiTheme="majorEastAsia" w:hAnsiTheme="majorEastAsia" w:eastAsiaTheme="majorEastAsia" w:cstheme="majorEastAsia"/>
          <w:szCs w:val="32"/>
          <w:lang w:val="en-US" w:eastAsia="zh-CN"/>
        </w:rPr>
        <w:t xml:space="preserve">  </w:t>
      </w:r>
      <w:r>
        <w:rPr>
          <w:rFonts w:hint="eastAsia" w:asciiTheme="majorEastAsia" w:hAnsiTheme="majorEastAsia" w:eastAsiaTheme="majorEastAsia" w:cstheme="majorEastAsia"/>
          <w:szCs w:val="32"/>
          <w:lang w:eastAsia="zh-CN"/>
        </w:rPr>
        <w:t>）</w:t>
      </w:r>
      <w:r>
        <w:rPr>
          <w:rFonts w:hint="eastAsia" w:asciiTheme="majorEastAsia" w:hAnsiTheme="majorEastAsia" w:eastAsiaTheme="majorEastAsia" w:cstheme="majorEastAsia"/>
          <w:szCs w:val="32"/>
          <w:lang w:val="en-US" w:eastAsia="zh-CN"/>
        </w:rPr>
        <w:t>方式解决：</w:t>
      </w:r>
    </w:p>
    <w:p>
      <w:pPr>
        <w:spacing w:line="560" w:lineRule="exact"/>
        <w:ind w:firstLine="640" w:firstLineChars="200"/>
        <w:rPr>
          <w:rFonts w:hint="eastAsia" w:asciiTheme="majorEastAsia" w:hAnsiTheme="majorEastAsia" w:eastAsiaTheme="majorEastAsia" w:cstheme="majorEastAsia"/>
          <w:szCs w:val="32"/>
          <w:lang w:eastAsia="zh-CN"/>
        </w:rPr>
      </w:pPr>
      <w:r>
        <w:rPr>
          <w:rFonts w:hint="eastAsia" w:asciiTheme="majorEastAsia" w:hAnsiTheme="majorEastAsia" w:eastAsiaTheme="majorEastAsia" w:cstheme="majorEastAsia"/>
          <w:szCs w:val="32"/>
          <w:lang w:eastAsia="zh-CN"/>
        </w:rPr>
        <w:t>①提交</w:t>
      </w:r>
      <w:r>
        <w:rPr>
          <w:rFonts w:hint="eastAsia" w:asciiTheme="majorEastAsia" w:hAnsiTheme="majorEastAsia" w:eastAsiaTheme="majorEastAsia" w:cstheme="majorEastAsia"/>
          <w:szCs w:val="32"/>
        </w:rPr>
        <w:t>农村土地承包仲裁</w:t>
      </w:r>
      <w:r>
        <w:rPr>
          <w:rFonts w:hint="eastAsia" w:asciiTheme="majorEastAsia" w:hAnsiTheme="majorEastAsia" w:eastAsiaTheme="majorEastAsia" w:cstheme="majorEastAsia"/>
          <w:szCs w:val="32"/>
          <w:lang w:eastAsia="zh-CN"/>
        </w:rPr>
        <w:t>委员会</w:t>
      </w:r>
      <w:r>
        <w:rPr>
          <w:rFonts w:hint="eastAsia" w:asciiTheme="majorEastAsia" w:hAnsiTheme="majorEastAsia" w:eastAsiaTheme="majorEastAsia" w:cstheme="majorEastAsia"/>
          <w:szCs w:val="32"/>
        </w:rPr>
        <w:t>仲裁</w:t>
      </w:r>
      <w:r>
        <w:rPr>
          <w:rFonts w:hint="eastAsia" w:asciiTheme="majorEastAsia" w:hAnsiTheme="majorEastAsia" w:eastAsiaTheme="majorEastAsia" w:cstheme="majorEastAsia"/>
          <w:szCs w:val="32"/>
          <w:lang w:eastAsia="zh-CN"/>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lang w:eastAsia="zh-CN"/>
        </w:rPr>
        <w:t>②</w:t>
      </w:r>
      <w:r>
        <w:rPr>
          <w:rFonts w:hint="eastAsia" w:asciiTheme="majorEastAsia" w:hAnsiTheme="majorEastAsia" w:eastAsiaTheme="majorEastAsia" w:cstheme="majorEastAsia"/>
          <w:szCs w:val="32"/>
        </w:rPr>
        <w:t>向人民法院起诉。</w:t>
      </w:r>
    </w:p>
    <w:p>
      <w:pPr>
        <w:spacing w:line="560" w:lineRule="exact"/>
        <w:ind w:firstLine="643"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b/>
          <w:bCs/>
          <w:szCs w:val="32"/>
        </w:rPr>
        <w:t>第十条 特别约定</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1.承包合同生效后，不因承办人或者负责人的变动而变更或者解除，也不因集体经济组织的分立或者合并而变更或者解除。</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2.本合同未尽事宜，甲乙双方另行签定书面补充协议，补充协议与本合同具有同等效力。</w:t>
      </w:r>
    </w:p>
    <w:p>
      <w:pPr>
        <w:spacing w:line="560" w:lineRule="exact"/>
        <w:ind w:firstLine="643" w:firstLineChars="200"/>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第十一条其他约定</w:t>
      </w:r>
    </w:p>
    <w:p>
      <w:pPr>
        <w:spacing w:line="560" w:lineRule="exact"/>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 xml:space="preserve">    </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w:t>
      </w:r>
    </w:p>
    <w:p>
      <w:pPr>
        <w:spacing w:line="560" w:lineRule="exact"/>
        <w:ind w:firstLine="640" w:firstLineChars="200"/>
        <w:rPr>
          <w:rFonts w:asciiTheme="majorEastAsia" w:hAnsiTheme="majorEastAsia" w:eastAsiaTheme="majorEastAsia" w:cstheme="majorEastAsia"/>
          <w:szCs w:val="32"/>
        </w:rPr>
      </w:pPr>
      <w:r>
        <w:rPr>
          <w:rFonts w:hint="eastAsia" w:asciiTheme="majorEastAsia" w:hAnsiTheme="majorEastAsia" w:eastAsiaTheme="majorEastAsia" w:cstheme="majorEastAsia"/>
          <w:szCs w:val="32"/>
        </w:rPr>
        <w:t>本合同一式四份，双方盖章/签字有效。甲乙双方各执一份，镇（乡、街）农村集体资产管理部门备案一份，渝水区农村产权交易中心留存一份。经协商，决定</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rPr>
        <w:t>（提交/不提交）渝水区农村产权交易中心鉴证。</w:t>
      </w:r>
    </w:p>
    <w:p>
      <w:pPr>
        <w:spacing w:line="560" w:lineRule="exact"/>
        <w:rPr>
          <w:rFonts w:hint="eastAsia" w:asciiTheme="majorEastAsia" w:hAnsiTheme="majorEastAsia" w:eastAsiaTheme="majorEastAsia" w:cstheme="majorEastAsia"/>
          <w:szCs w:val="32"/>
          <w:lang w:eastAsia="zh-CN"/>
        </w:rPr>
      </w:pPr>
      <w:r>
        <w:rPr>
          <w:rFonts w:hint="eastAsia" w:asciiTheme="majorEastAsia" w:hAnsiTheme="majorEastAsia" w:eastAsiaTheme="majorEastAsia" w:cstheme="majorEastAsia"/>
          <w:szCs w:val="32"/>
          <w:lang w:eastAsia="zh-CN"/>
        </w:rPr>
        <w:t>（以下无正文）</w:t>
      </w: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r>
        <w:rPr>
          <w:rFonts w:hint="eastAsia" w:asciiTheme="majorEastAsia" w:hAnsiTheme="majorEastAsia" w:eastAsiaTheme="majorEastAsia" w:cstheme="majorEastAsia"/>
          <w:b/>
          <w:bCs/>
          <w:szCs w:val="32"/>
          <w:lang w:val="zh-TW" w:eastAsia="zh-TW"/>
        </w:rPr>
        <w:t>甲方（盖章/签字）：</w:t>
      </w:r>
      <w:r>
        <w:rPr>
          <w:rFonts w:hint="eastAsia" w:asciiTheme="majorEastAsia" w:hAnsiTheme="majorEastAsia" w:eastAsiaTheme="majorEastAsia" w:cstheme="majorEastAsia"/>
          <w:szCs w:val="32"/>
          <w:lang w:val="zh-TW" w:eastAsia="zh-TW"/>
        </w:rPr>
        <w:t xml:space="preserve">            </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rPr>
        <w:t>日</w:t>
      </w:r>
    </w:p>
    <w:tbl>
      <w:tblPr>
        <w:tblStyle w:val="4"/>
        <w:tblW w:w="8824" w:type="dxa"/>
        <w:jc w:val="center"/>
        <w:tblLayout w:type="autofit"/>
        <w:tblCellMar>
          <w:top w:w="0" w:type="dxa"/>
          <w:left w:w="108" w:type="dxa"/>
          <w:bottom w:w="0" w:type="dxa"/>
          <w:right w:w="108" w:type="dxa"/>
        </w:tblCellMar>
      </w:tblPr>
      <w:tblGrid>
        <w:gridCol w:w="1735"/>
        <w:gridCol w:w="3276"/>
        <w:gridCol w:w="1296"/>
        <w:gridCol w:w="2517"/>
      </w:tblGrid>
      <w:tr>
        <w:tblPrEx>
          <w:tblCellMar>
            <w:top w:w="0" w:type="dxa"/>
            <w:left w:w="108" w:type="dxa"/>
            <w:bottom w:w="0" w:type="dxa"/>
            <w:right w:w="108" w:type="dxa"/>
          </w:tblCellMar>
        </w:tblPrEx>
        <w:trPr>
          <w:trHeight w:val="699" w:hRule="exact"/>
          <w:jc w:val="center"/>
        </w:trPr>
        <w:tc>
          <w:tcPr>
            <w:tcW w:w="1735"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法定代表人或主要负责人姓名</w:t>
            </w:r>
          </w:p>
        </w:tc>
        <w:tc>
          <w:tcPr>
            <w:tcW w:w="327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9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rPr>
              <w:t>统一社会</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val="zh-TW"/>
              </w:rPr>
              <w:t>信用代码</w:t>
            </w:r>
          </w:p>
        </w:tc>
        <w:tc>
          <w:tcPr>
            <w:tcW w:w="2517" w:type="dxa"/>
            <w:tcBorders>
              <w:top w:val="single" w:color="auto" w:sz="4" w:space="0"/>
              <w:left w:val="single" w:color="auto" w:sz="4" w:space="0"/>
              <w:bottom w:val="nil"/>
              <w:right w:val="single" w:color="auto" w:sz="4" w:space="0"/>
            </w:tcBorders>
            <w:shd w:val="clear" w:color="auto" w:fill="FFFFFF"/>
            <w:vAlign w:val="center"/>
          </w:tcPr>
          <w:p>
            <w:pPr>
              <w:spacing w:line="560" w:lineRule="exact"/>
              <w:jc w:val="center"/>
              <w:rPr>
                <w:rFonts w:asciiTheme="majorEastAsia" w:hAnsiTheme="majorEastAsia" w:eastAsiaTheme="majorEastAsia" w:cstheme="majorEastAsia"/>
                <w:szCs w:val="32"/>
              </w:rPr>
            </w:pPr>
          </w:p>
        </w:tc>
      </w:tr>
      <w:tr>
        <w:tblPrEx>
          <w:tblCellMar>
            <w:top w:w="0" w:type="dxa"/>
            <w:left w:w="108" w:type="dxa"/>
            <w:bottom w:w="0" w:type="dxa"/>
            <w:right w:w="108" w:type="dxa"/>
          </w:tblCellMar>
        </w:tblPrEx>
        <w:trPr>
          <w:trHeight w:val="425" w:hRule="exact"/>
          <w:jc w:val="center"/>
        </w:trPr>
        <w:tc>
          <w:tcPr>
            <w:tcW w:w="1735"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联系方式</w:t>
            </w:r>
          </w:p>
        </w:tc>
        <w:tc>
          <w:tcPr>
            <w:tcW w:w="327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9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地</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val="zh-TW" w:eastAsia="zh-TW"/>
              </w:rPr>
              <w:t>址</w:t>
            </w:r>
          </w:p>
        </w:tc>
        <w:tc>
          <w:tcPr>
            <w:tcW w:w="2517" w:type="dxa"/>
            <w:tcBorders>
              <w:top w:val="single" w:color="auto" w:sz="4" w:space="0"/>
              <w:left w:val="single" w:color="auto" w:sz="4" w:space="0"/>
              <w:bottom w:val="nil"/>
              <w:right w:val="single" w:color="auto" w:sz="4" w:space="0"/>
            </w:tcBorders>
            <w:shd w:val="clear" w:color="auto" w:fill="FFFFFF"/>
            <w:vAlign w:val="center"/>
          </w:tcPr>
          <w:p>
            <w:pPr>
              <w:spacing w:line="560" w:lineRule="exact"/>
              <w:jc w:val="center"/>
              <w:rPr>
                <w:rFonts w:asciiTheme="majorEastAsia" w:hAnsiTheme="majorEastAsia" w:eastAsiaTheme="majorEastAsia" w:cstheme="majorEastAsia"/>
                <w:szCs w:val="32"/>
              </w:rPr>
            </w:pPr>
          </w:p>
        </w:tc>
      </w:tr>
      <w:tr>
        <w:tblPrEx>
          <w:tblCellMar>
            <w:top w:w="0" w:type="dxa"/>
            <w:left w:w="108" w:type="dxa"/>
            <w:bottom w:w="0" w:type="dxa"/>
            <w:right w:w="108" w:type="dxa"/>
          </w:tblCellMar>
        </w:tblPrEx>
        <w:trPr>
          <w:trHeight w:val="425" w:hRule="exact"/>
          <w:jc w:val="center"/>
        </w:trPr>
        <w:tc>
          <w:tcPr>
            <w:tcW w:w="1735"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开户银行</w:t>
            </w:r>
          </w:p>
        </w:tc>
        <w:tc>
          <w:tcPr>
            <w:tcW w:w="327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9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银行账号</w:t>
            </w:r>
          </w:p>
        </w:tc>
        <w:tc>
          <w:tcPr>
            <w:tcW w:w="2517" w:type="dxa"/>
            <w:tcBorders>
              <w:top w:val="single" w:color="auto" w:sz="4" w:space="0"/>
              <w:left w:val="single" w:color="auto" w:sz="4" w:space="0"/>
              <w:bottom w:val="nil"/>
              <w:right w:val="single" w:color="auto" w:sz="4" w:space="0"/>
            </w:tcBorders>
            <w:shd w:val="clear" w:color="auto" w:fill="FFFFFF"/>
            <w:vAlign w:val="center"/>
          </w:tcPr>
          <w:p>
            <w:pPr>
              <w:spacing w:line="560" w:lineRule="exact"/>
              <w:jc w:val="center"/>
              <w:rPr>
                <w:rFonts w:asciiTheme="majorEastAsia" w:hAnsiTheme="majorEastAsia" w:eastAsiaTheme="majorEastAsia" w:cstheme="majorEastAsia"/>
                <w:szCs w:val="32"/>
              </w:rPr>
            </w:pPr>
          </w:p>
        </w:tc>
      </w:tr>
      <w:tr>
        <w:tblPrEx>
          <w:tblCellMar>
            <w:top w:w="0" w:type="dxa"/>
            <w:left w:w="108" w:type="dxa"/>
            <w:bottom w:w="0" w:type="dxa"/>
            <w:right w:w="108" w:type="dxa"/>
          </w:tblCellMar>
        </w:tblPrEx>
        <w:trPr>
          <w:trHeight w:val="425" w:hRule="exact"/>
          <w:jc w:val="center"/>
        </w:trPr>
        <w:tc>
          <w:tcPr>
            <w:tcW w:w="1735"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代理人姓名</w:t>
            </w:r>
          </w:p>
        </w:tc>
        <w:tc>
          <w:tcPr>
            <w:tcW w:w="327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96"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联系方式</w:t>
            </w:r>
          </w:p>
        </w:tc>
        <w:tc>
          <w:tcPr>
            <w:tcW w:w="2517" w:type="dxa"/>
            <w:tcBorders>
              <w:top w:val="single" w:color="auto" w:sz="4" w:space="0"/>
              <w:left w:val="single" w:color="auto" w:sz="4" w:space="0"/>
              <w:bottom w:val="nil"/>
              <w:right w:val="single" w:color="auto" w:sz="4" w:space="0"/>
            </w:tcBorders>
            <w:shd w:val="clear" w:color="auto" w:fill="FFFFFF"/>
            <w:vAlign w:val="center"/>
          </w:tcPr>
          <w:p>
            <w:pPr>
              <w:spacing w:line="560" w:lineRule="exact"/>
              <w:jc w:val="center"/>
              <w:rPr>
                <w:rFonts w:asciiTheme="majorEastAsia" w:hAnsiTheme="majorEastAsia" w:eastAsiaTheme="majorEastAsia" w:cstheme="majorEastAsia"/>
                <w:szCs w:val="32"/>
              </w:rPr>
            </w:pPr>
          </w:p>
        </w:tc>
      </w:tr>
      <w:tr>
        <w:tblPrEx>
          <w:tblCellMar>
            <w:top w:w="0" w:type="dxa"/>
            <w:left w:w="108" w:type="dxa"/>
            <w:bottom w:w="0" w:type="dxa"/>
            <w:right w:w="108" w:type="dxa"/>
          </w:tblCellMar>
        </w:tblPrEx>
        <w:trPr>
          <w:trHeight w:val="425" w:hRule="exact"/>
          <w:jc w:val="center"/>
        </w:trPr>
        <w:tc>
          <w:tcPr>
            <w:tcW w:w="1735" w:type="dxa"/>
            <w:tcBorders>
              <w:top w:val="single" w:color="auto" w:sz="4" w:space="0"/>
              <w:left w:val="single" w:color="auto" w:sz="4" w:space="0"/>
              <w:bottom w:val="single" w:color="auto" w:sz="4" w:space="0"/>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身份证号</w:t>
            </w:r>
          </w:p>
        </w:tc>
        <w:tc>
          <w:tcPr>
            <w:tcW w:w="3276" w:type="dxa"/>
            <w:tcBorders>
              <w:top w:val="single" w:color="auto" w:sz="4" w:space="0"/>
              <w:left w:val="single" w:color="auto" w:sz="4" w:space="0"/>
              <w:bottom w:val="single" w:color="auto" w:sz="4" w:space="0"/>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96" w:type="dxa"/>
            <w:tcBorders>
              <w:top w:val="single" w:color="auto" w:sz="4" w:space="0"/>
              <w:left w:val="single" w:color="auto" w:sz="4" w:space="0"/>
              <w:bottom w:val="single" w:color="auto" w:sz="4" w:space="0"/>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地</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val="zh-TW" w:eastAsia="zh-TW"/>
              </w:rPr>
              <w:t>址</w:t>
            </w:r>
          </w:p>
        </w:tc>
        <w:tc>
          <w:tcPr>
            <w:tcW w:w="2517"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60" w:lineRule="exact"/>
              <w:jc w:val="center"/>
              <w:rPr>
                <w:rFonts w:asciiTheme="majorEastAsia" w:hAnsiTheme="majorEastAsia" w:eastAsiaTheme="majorEastAsia" w:cstheme="majorEastAsia"/>
                <w:szCs w:val="32"/>
              </w:rPr>
            </w:pPr>
          </w:p>
        </w:tc>
      </w:tr>
    </w:tbl>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szCs w:val="32"/>
          <w:lang w:val="zh-TW" w:eastAsia="zh-TW"/>
        </w:rPr>
      </w:pPr>
      <w:r>
        <w:rPr>
          <w:rFonts w:hint="eastAsia" w:asciiTheme="majorEastAsia" w:hAnsiTheme="majorEastAsia" w:eastAsiaTheme="majorEastAsia" w:cstheme="majorEastAsia"/>
          <w:b/>
          <w:bCs/>
          <w:szCs w:val="32"/>
          <w:lang w:val="zh-TW" w:eastAsia="zh-TW"/>
        </w:rPr>
        <w:t>乙方（盖章/签字）：</w:t>
      </w:r>
      <w:r>
        <w:rPr>
          <w:rFonts w:hint="eastAsia" w:asciiTheme="majorEastAsia" w:hAnsiTheme="majorEastAsia" w:eastAsiaTheme="majorEastAsia" w:cstheme="majorEastAsia"/>
          <w:szCs w:val="32"/>
          <w:lang w:val="zh-TW" w:eastAsia="zh-TW"/>
        </w:rPr>
        <w:t xml:space="preserve">            </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 xml:space="preserve">日 </w:t>
      </w:r>
    </w:p>
    <w:tbl>
      <w:tblPr>
        <w:tblStyle w:val="4"/>
        <w:tblW w:w="8824" w:type="dxa"/>
        <w:jc w:val="center"/>
        <w:tblLayout w:type="fixed"/>
        <w:tblCellMar>
          <w:top w:w="0" w:type="dxa"/>
          <w:left w:w="108" w:type="dxa"/>
          <w:bottom w:w="0" w:type="dxa"/>
          <w:right w:w="108" w:type="dxa"/>
        </w:tblCellMar>
      </w:tblPr>
      <w:tblGrid>
        <w:gridCol w:w="1699"/>
        <w:gridCol w:w="3312"/>
        <w:gridCol w:w="1272"/>
        <w:gridCol w:w="2541"/>
      </w:tblGrid>
      <w:tr>
        <w:tblPrEx>
          <w:tblCellMar>
            <w:top w:w="0" w:type="dxa"/>
            <w:left w:w="108" w:type="dxa"/>
            <w:bottom w:w="0" w:type="dxa"/>
            <w:right w:w="108" w:type="dxa"/>
          </w:tblCellMar>
        </w:tblPrEx>
        <w:trPr>
          <w:trHeight w:val="1101" w:hRule="exact"/>
          <w:jc w:val="center"/>
        </w:trPr>
        <w:tc>
          <w:tcPr>
            <w:tcW w:w="1699"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rPr>
              <w:t>自然人、</w:t>
            </w:r>
            <w:r>
              <w:rPr>
                <w:rFonts w:hint="eastAsia" w:asciiTheme="majorEastAsia" w:hAnsiTheme="majorEastAsia" w:eastAsiaTheme="majorEastAsia" w:cstheme="majorEastAsia"/>
                <w:sz w:val="21"/>
                <w:szCs w:val="21"/>
                <w:lang w:val="zh-TW" w:eastAsia="zh-TW"/>
              </w:rPr>
              <w:t>法定代表人或主要负责人姓名</w:t>
            </w:r>
          </w:p>
        </w:tc>
        <w:tc>
          <w:tcPr>
            <w:tcW w:w="331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7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rPr>
              <w:t>身份证号（统一社会信用代码）</w:t>
            </w:r>
            <w:r>
              <w:rPr>
                <w:rFonts w:hint="eastAsia" w:asciiTheme="majorEastAsia" w:hAnsiTheme="majorEastAsia" w:eastAsiaTheme="majorEastAsia" w:cstheme="majorEastAsia"/>
                <w:sz w:val="21"/>
                <w:szCs w:val="21"/>
                <w:lang w:val="zh-TW" w:eastAsia="zh-TW"/>
              </w:rPr>
              <w:t>责人姓名</w:t>
            </w:r>
          </w:p>
        </w:tc>
        <w:tc>
          <w:tcPr>
            <w:tcW w:w="2541" w:type="dxa"/>
            <w:tcBorders>
              <w:top w:val="single" w:color="auto" w:sz="4" w:space="0"/>
              <w:left w:val="single" w:color="auto" w:sz="4" w:space="0"/>
              <w:bottom w:val="nil"/>
              <w:right w:val="single" w:color="auto" w:sz="4" w:space="0"/>
            </w:tcBorders>
            <w:shd w:val="clear" w:color="auto" w:fill="FFFFFF"/>
            <w:vAlign w:val="center"/>
          </w:tcPr>
          <w:p>
            <w:pPr>
              <w:jc w:val="center"/>
              <w:rPr>
                <w:rFonts w:asciiTheme="majorEastAsia" w:hAnsiTheme="majorEastAsia" w:eastAsiaTheme="majorEastAsia" w:cstheme="majorEastAsia"/>
                <w:sz w:val="21"/>
                <w:szCs w:val="21"/>
              </w:rPr>
            </w:pPr>
          </w:p>
        </w:tc>
      </w:tr>
      <w:tr>
        <w:tblPrEx>
          <w:tblCellMar>
            <w:top w:w="0" w:type="dxa"/>
            <w:left w:w="108" w:type="dxa"/>
            <w:bottom w:w="0" w:type="dxa"/>
            <w:right w:w="108" w:type="dxa"/>
          </w:tblCellMar>
        </w:tblPrEx>
        <w:trPr>
          <w:trHeight w:val="425" w:hRule="exact"/>
          <w:jc w:val="center"/>
        </w:trPr>
        <w:tc>
          <w:tcPr>
            <w:tcW w:w="1699"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联系方式</w:t>
            </w:r>
          </w:p>
        </w:tc>
        <w:tc>
          <w:tcPr>
            <w:tcW w:w="331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7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地</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val="zh-TW" w:eastAsia="zh-TW"/>
              </w:rPr>
              <w:t>址</w:t>
            </w:r>
          </w:p>
        </w:tc>
        <w:tc>
          <w:tcPr>
            <w:tcW w:w="2541" w:type="dxa"/>
            <w:tcBorders>
              <w:top w:val="single" w:color="auto" w:sz="4" w:space="0"/>
              <w:left w:val="single" w:color="auto" w:sz="4" w:space="0"/>
              <w:bottom w:val="nil"/>
              <w:right w:val="single" w:color="auto" w:sz="4" w:space="0"/>
            </w:tcBorders>
            <w:shd w:val="clear" w:color="auto" w:fill="FFFFFF"/>
            <w:vAlign w:val="center"/>
          </w:tcPr>
          <w:p>
            <w:pPr>
              <w:jc w:val="center"/>
              <w:rPr>
                <w:rFonts w:asciiTheme="majorEastAsia" w:hAnsiTheme="majorEastAsia" w:eastAsiaTheme="majorEastAsia" w:cstheme="majorEastAsia"/>
                <w:sz w:val="21"/>
                <w:szCs w:val="21"/>
              </w:rPr>
            </w:pPr>
          </w:p>
        </w:tc>
      </w:tr>
      <w:tr>
        <w:tblPrEx>
          <w:tblCellMar>
            <w:top w:w="0" w:type="dxa"/>
            <w:left w:w="108" w:type="dxa"/>
            <w:bottom w:w="0" w:type="dxa"/>
            <w:right w:w="108" w:type="dxa"/>
          </w:tblCellMar>
        </w:tblPrEx>
        <w:trPr>
          <w:trHeight w:val="425" w:hRule="exact"/>
          <w:jc w:val="center"/>
        </w:trPr>
        <w:tc>
          <w:tcPr>
            <w:tcW w:w="1699"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开户银行</w:t>
            </w:r>
          </w:p>
        </w:tc>
        <w:tc>
          <w:tcPr>
            <w:tcW w:w="331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7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银行账号</w:t>
            </w:r>
          </w:p>
        </w:tc>
        <w:tc>
          <w:tcPr>
            <w:tcW w:w="2541" w:type="dxa"/>
            <w:tcBorders>
              <w:top w:val="single" w:color="auto" w:sz="4" w:space="0"/>
              <w:left w:val="single" w:color="auto" w:sz="4" w:space="0"/>
              <w:bottom w:val="nil"/>
              <w:right w:val="single" w:color="auto" w:sz="4" w:space="0"/>
            </w:tcBorders>
            <w:shd w:val="clear" w:color="auto" w:fill="FFFFFF"/>
            <w:vAlign w:val="center"/>
          </w:tcPr>
          <w:p>
            <w:pPr>
              <w:jc w:val="center"/>
              <w:rPr>
                <w:rFonts w:asciiTheme="majorEastAsia" w:hAnsiTheme="majorEastAsia" w:eastAsiaTheme="majorEastAsia" w:cstheme="majorEastAsia"/>
                <w:sz w:val="21"/>
                <w:szCs w:val="21"/>
              </w:rPr>
            </w:pPr>
          </w:p>
        </w:tc>
      </w:tr>
      <w:tr>
        <w:tblPrEx>
          <w:tblCellMar>
            <w:top w:w="0" w:type="dxa"/>
            <w:left w:w="108" w:type="dxa"/>
            <w:bottom w:w="0" w:type="dxa"/>
            <w:right w:w="108" w:type="dxa"/>
          </w:tblCellMar>
        </w:tblPrEx>
        <w:trPr>
          <w:trHeight w:val="425" w:hRule="exact"/>
          <w:jc w:val="center"/>
        </w:trPr>
        <w:tc>
          <w:tcPr>
            <w:tcW w:w="1699"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代理人姓名</w:t>
            </w:r>
          </w:p>
        </w:tc>
        <w:tc>
          <w:tcPr>
            <w:tcW w:w="331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72" w:type="dxa"/>
            <w:tcBorders>
              <w:top w:val="single" w:color="auto" w:sz="4" w:space="0"/>
              <w:left w:val="single" w:color="auto" w:sz="4" w:space="0"/>
              <w:bottom w:val="nil"/>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联系方式</w:t>
            </w:r>
          </w:p>
        </w:tc>
        <w:tc>
          <w:tcPr>
            <w:tcW w:w="2541" w:type="dxa"/>
            <w:tcBorders>
              <w:top w:val="single" w:color="auto" w:sz="4" w:space="0"/>
              <w:left w:val="single" w:color="auto" w:sz="4" w:space="0"/>
              <w:bottom w:val="nil"/>
              <w:right w:val="single" w:color="auto" w:sz="4" w:space="0"/>
            </w:tcBorders>
            <w:shd w:val="clear" w:color="auto" w:fill="FFFFFF"/>
            <w:vAlign w:val="center"/>
          </w:tcPr>
          <w:p>
            <w:pPr>
              <w:jc w:val="center"/>
              <w:rPr>
                <w:rFonts w:asciiTheme="majorEastAsia" w:hAnsiTheme="majorEastAsia" w:eastAsiaTheme="majorEastAsia" w:cstheme="majorEastAsia"/>
                <w:sz w:val="21"/>
                <w:szCs w:val="21"/>
              </w:rPr>
            </w:pPr>
          </w:p>
        </w:tc>
      </w:tr>
      <w:tr>
        <w:tblPrEx>
          <w:tblCellMar>
            <w:top w:w="0" w:type="dxa"/>
            <w:left w:w="108" w:type="dxa"/>
            <w:bottom w:w="0" w:type="dxa"/>
            <w:right w:w="108" w:type="dxa"/>
          </w:tblCellMar>
        </w:tblPrEx>
        <w:trPr>
          <w:trHeight w:val="425" w:hRule="exact"/>
          <w:jc w:val="center"/>
        </w:trPr>
        <w:tc>
          <w:tcPr>
            <w:tcW w:w="1699" w:type="dxa"/>
            <w:tcBorders>
              <w:top w:val="single" w:color="auto" w:sz="4" w:space="0"/>
              <w:left w:val="single" w:color="auto" w:sz="4" w:space="0"/>
              <w:bottom w:val="single" w:color="auto" w:sz="4" w:space="0"/>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身份证号</w:t>
            </w:r>
          </w:p>
        </w:tc>
        <w:tc>
          <w:tcPr>
            <w:tcW w:w="3312" w:type="dxa"/>
            <w:tcBorders>
              <w:top w:val="single" w:color="auto" w:sz="4" w:space="0"/>
              <w:left w:val="single" w:color="auto" w:sz="4" w:space="0"/>
              <w:bottom w:val="single" w:color="auto" w:sz="4" w:space="0"/>
              <w:right w:val="nil"/>
            </w:tcBorders>
            <w:shd w:val="clear" w:color="auto" w:fill="FFFFFF"/>
            <w:vAlign w:val="center"/>
          </w:tcPr>
          <w:p>
            <w:pPr>
              <w:jc w:val="center"/>
              <w:rPr>
                <w:rFonts w:asciiTheme="majorEastAsia" w:hAnsiTheme="majorEastAsia" w:eastAsiaTheme="majorEastAsia" w:cstheme="majorEastAsia"/>
                <w:sz w:val="21"/>
                <w:szCs w:val="21"/>
              </w:rPr>
            </w:pPr>
          </w:p>
        </w:tc>
        <w:tc>
          <w:tcPr>
            <w:tcW w:w="1272" w:type="dxa"/>
            <w:tcBorders>
              <w:top w:val="single" w:color="auto" w:sz="4" w:space="0"/>
              <w:left w:val="single" w:color="auto" w:sz="4" w:space="0"/>
              <w:bottom w:val="single" w:color="auto" w:sz="4" w:space="0"/>
              <w:right w:val="nil"/>
            </w:tcBorders>
            <w:shd w:val="clear" w:color="auto" w:fill="FFFFFF"/>
            <w:vAlign w:val="center"/>
          </w:tcPr>
          <w:p>
            <w:pPr>
              <w:jc w:val="center"/>
              <w:rPr>
                <w:rFonts w:asciiTheme="majorEastAsia" w:hAnsiTheme="majorEastAsia" w:eastAsiaTheme="majorEastAsia" w:cstheme="majorEastAsia"/>
                <w:sz w:val="21"/>
                <w:szCs w:val="21"/>
                <w:lang w:val="zh-TW" w:eastAsia="zh-TW"/>
              </w:rPr>
            </w:pPr>
            <w:r>
              <w:rPr>
                <w:rFonts w:hint="eastAsia" w:asciiTheme="majorEastAsia" w:hAnsiTheme="majorEastAsia" w:eastAsiaTheme="majorEastAsia" w:cstheme="majorEastAsia"/>
                <w:sz w:val="21"/>
                <w:szCs w:val="21"/>
                <w:lang w:val="zh-TW" w:eastAsia="zh-TW"/>
              </w:rPr>
              <w:t>地</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val="zh-TW" w:eastAsia="zh-TW"/>
              </w:rPr>
              <w:t>址</w:t>
            </w:r>
          </w:p>
        </w:tc>
        <w:tc>
          <w:tcPr>
            <w:tcW w:w="254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Theme="majorEastAsia" w:hAnsiTheme="majorEastAsia" w:eastAsiaTheme="majorEastAsia" w:cstheme="majorEastAsia"/>
                <w:sz w:val="21"/>
                <w:szCs w:val="21"/>
              </w:rPr>
            </w:pPr>
          </w:p>
        </w:tc>
      </w:tr>
    </w:tbl>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b/>
          <w:bCs/>
          <w:szCs w:val="32"/>
          <w:lang w:val="zh-TW" w:eastAsia="zh-TW"/>
        </w:rPr>
      </w:pPr>
      <w:r>
        <w:rPr>
          <w:rFonts w:hint="eastAsia" w:asciiTheme="majorEastAsia" w:hAnsiTheme="majorEastAsia" w:eastAsiaTheme="majorEastAsia" w:cstheme="majorEastAsia"/>
          <w:b/>
          <w:bCs/>
          <w:szCs w:val="32"/>
          <w:lang w:val="zh-TW" w:eastAsia="zh-TW"/>
        </w:rPr>
        <w:t>乡镇合同管理部门备案意见</w:t>
      </w:r>
    </w:p>
    <w:p>
      <w:pPr>
        <w:spacing w:line="560" w:lineRule="exact"/>
        <w:rPr>
          <w:rFonts w:asciiTheme="majorEastAsia" w:hAnsiTheme="majorEastAsia" w:eastAsiaTheme="majorEastAsia" w:cstheme="majorEastAsia"/>
          <w:szCs w:val="32"/>
          <w:lang w:val="zh-TW" w:eastAsia="zh-TW"/>
        </w:rPr>
      </w:pPr>
      <w:r>
        <w:rPr>
          <w:rFonts w:hint="eastAsia" w:asciiTheme="majorEastAsia" w:hAnsiTheme="majorEastAsia" w:eastAsiaTheme="majorEastAsia" w:cstheme="majorEastAsia"/>
          <w:szCs w:val="32"/>
          <w:lang w:val="zh-TW" w:eastAsia="zh-TW"/>
        </w:rPr>
        <w:t>备案人：</w:t>
      </w:r>
      <w:r>
        <w:rPr>
          <w:rFonts w:hint="eastAsia" w:asciiTheme="majorEastAsia" w:hAnsiTheme="majorEastAsia" w:eastAsiaTheme="majorEastAsia" w:cstheme="majorEastAsia"/>
          <w:szCs w:val="32"/>
          <w:u w:val="single"/>
        </w:rPr>
        <w:t xml:space="preserve">                     </w:t>
      </w:r>
    </w:p>
    <w:p>
      <w:pPr>
        <w:spacing w:line="560" w:lineRule="exact"/>
        <w:rPr>
          <w:rFonts w:asciiTheme="majorEastAsia" w:hAnsiTheme="majorEastAsia" w:eastAsiaTheme="majorEastAsia" w:cstheme="majorEastAsia"/>
          <w:szCs w:val="32"/>
          <w:lang w:val="zh-TW" w:eastAsia="zh-TW"/>
        </w:rPr>
      </w:pPr>
      <w:r>
        <w:rPr>
          <w:rFonts w:hint="eastAsia" w:asciiTheme="majorEastAsia" w:hAnsiTheme="majorEastAsia" w:eastAsiaTheme="majorEastAsia" w:cstheme="majorEastAsia"/>
          <w:szCs w:val="32"/>
          <w:lang w:val="zh-TW" w:eastAsia="zh-TW"/>
        </w:rPr>
        <w:t>备案日期：</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日</w:t>
      </w:r>
    </w:p>
    <w:p>
      <w:pPr>
        <w:spacing w:line="560" w:lineRule="exact"/>
        <w:rPr>
          <w:rFonts w:asciiTheme="majorEastAsia" w:hAnsiTheme="majorEastAsia" w:eastAsiaTheme="majorEastAsia" w:cstheme="majorEastAsia"/>
          <w:szCs w:val="32"/>
          <w:lang w:val="zh-TW" w:eastAsia="zh-TW"/>
        </w:rPr>
      </w:pPr>
    </w:p>
    <w:p>
      <w:pPr>
        <w:spacing w:line="560" w:lineRule="exact"/>
        <w:rPr>
          <w:rFonts w:asciiTheme="majorEastAsia" w:hAnsiTheme="majorEastAsia" w:eastAsiaTheme="majorEastAsia" w:cstheme="majorEastAsia"/>
          <w:b/>
          <w:bCs/>
          <w:szCs w:val="32"/>
          <w:lang w:eastAsia="zh-TW"/>
        </w:rPr>
      </w:pPr>
      <w:r>
        <w:rPr>
          <w:rFonts w:hint="eastAsia" w:asciiTheme="majorEastAsia" w:hAnsiTheme="majorEastAsia" w:eastAsiaTheme="majorEastAsia" w:cstheme="majorEastAsia"/>
          <w:b/>
          <w:bCs/>
          <w:szCs w:val="32"/>
          <w:lang w:val="zh-TW" w:eastAsia="zh-TW"/>
        </w:rPr>
        <w:t>鉴 证 方（签字/签章）</w:t>
      </w:r>
      <w:r>
        <w:rPr>
          <w:rFonts w:hint="eastAsia" w:asciiTheme="majorEastAsia" w:hAnsiTheme="majorEastAsia" w:eastAsiaTheme="majorEastAsia" w:cstheme="majorEastAsia"/>
          <w:b/>
          <w:bCs/>
          <w:szCs w:val="32"/>
          <w:lang w:val="zh-TW"/>
        </w:rPr>
        <w:t>：</w:t>
      </w:r>
      <w:r>
        <w:rPr>
          <w:rFonts w:hint="eastAsia" w:asciiTheme="majorEastAsia" w:hAnsiTheme="majorEastAsia" w:eastAsiaTheme="majorEastAsia" w:cstheme="majorEastAsia"/>
          <w:b/>
          <w:bCs/>
          <w:szCs w:val="32"/>
          <w:u w:val="single"/>
        </w:rPr>
        <w:t xml:space="preserve">                                 </w:t>
      </w:r>
    </w:p>
    <w:p>
      <w:pPr>
        <w:spacing w:line="560" w:lineRule="exact"/>
        <w:rPr>
          <w:rFonts w:asciiTheme="majorEastAsia" w:hAnsiTheme="majorEastAsia" w:eastAsiaTheme="majorEastAsia" w:cstheme="majorEastAsia"/>
          <w:szCs w:val="32"/>
          <w:lang w:val="zh-TW" w:eastAsia="zh-TW"/>
        </w:rPr>
      </w:pPr>
      <w:r>
        <w:rPr>
          <w:rFonts w:hint="eastAsia" w:asciiTheme="majorEastAsia" w:hAnsiTheme="majorEastAsia" w:eastAsiaTheme="majorEastAsia" w:cstheme="majorEastAsia"/>
          <w:szCs w:val="32"/>
          <w:lang w:val="zh-TW" w:eastAsia="zh-TW"/>
        </w:rPr>
        <w:t>地　　址：</w:t>
      </w:r>
      <w:r>
        <w:rPr>
          <w:rFonts w:hint="eastAsia" w:asciiTheme="majorEastAsia" w:hAnsiTheme="majorEastAsia" w:eastAsiaTheme="majorEastAsia" w:cstheme="majorEastAsia"/>
          <w:szCs w:val="32"/>
          <w:u w:val="single"/>
        </w:rPr>
        <w:t xml:space="preserve">                                              </w:t>
      </w:r>
    </w:p>
    <w:p>
      <w:pPr>
        <w:spacing w:line="560" w:lineRule="exact"/>
        <w:rPr>
          <w:rFonts w:asciiTheme="majorEastAsia" w:hAnsiTheme="majorEastAsia" w:eastAsiaTheme="majorEastAsia" w:cstheme="majorEastAsia"/>
          <w:szCs w:val="32"/>
          <w:lang w:val="zh-TW" w:eastAsia="zh-TW"/>
        </w:rPr>
      </w:pPr>
      <w:r>
        <w:rPr>
          <w:rFonts w:hint="eastAsia" w:asciiTheme="majorEastAsia" w:hAnsiTheme="majorEastAsia" w:eastAsiaTheme="majorEastAsia" w:cstheme="majorEastAsia"/>
          <w:szCs w:val="32"/>
          <w:lang w:val="zh-TW" w:eastAsia="zh-TW"/>
        </w:rPr>
        <w:t>联系方式：</w:t>
      </w:r>
      <w:r>
        <w:rPr>
          <w:rFonts w:hint="eastAsia" w:asciiTheme="majorEastAsia" w:hAnsiTheme="majorEastAsia" w:eastAsiaTheme="majorEastAsia" w:cstheme="majorEastAsia"/>
          <w:szCs w:val="32"/>
          <w:u w:val="single"/>
        </w:rPr>
        <w:t xml:space="preserve">                                             </w:t>
      </w:r>
    </w:p>
    <w:p>
      <w:pPr>
        <w:spacing w:line="560" w:lineRule="exact"/>
        <w:rPr>
          <w:rFonts w:asciiTheme="majorEastAsia" w:hAnsiTheme="majorEastAsia" w:eastAsiaTheme="majorEastAsia" w:cstheme="majorEastAsia"/>
          <w:szCs w:val="32"/>
          <w:lang w:val="zh-TW" w:eastAsia="zh-TW"/>
        </w:rPr>
        <w:sectPr>
          <w:footerReference r:id="rId3" w:type="default"/>
          <w:pgSz w:w="11906" w:h="16838"/>
          <w:pgMar w:top="2098" w:right="1474" w:bottom="1984" w:left="1587" w:header="0" w:footer="1417" w:gutter="0"/>
          <w:pgNumType w:fmt="numberInDash"/>
          <w:cols w:space="720" w:num="1"/>
          <w:docGrid w:type="lines" w:linePitch="386" w:charSpace="0"/>
        </w:sectPr>
      </w:pPr>
      <w:r>
        <w:rPr>
          <w:rFonts w:hint="eastAsia" w:asciiTheme="majorEastAsia" w:hAnsiTheme="majorEastAsia" w:eastAsiaTheme="majorEastAsia" w:cstheme="majorEastAsia"/>
          <w:szCs w:val="32"/>
          <w:lang w:val="zh-TW" w:eastAsia="zh-TW"/>
        </w:rPr>
        <w:t>鉴证日期：</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年</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月</w:t>
      </w:r>
      <w:r>
        <w:rPr>
          <w:rFonts w:hint="eastAsia" w:asciiTheme="majorEastAsia" w:hAnsiTheme="majorEastAsia" w:eastAsiaTheme="majorEastAsia" w:cstheme="majorEastAsia"/>
          <w:szCs w:val="32"/>
          <w:u w:val="single"/>
        </w:rPr>
        <w:t xml:space="preserve">   </w:t>
      </w:r>
      <w:r>
        <w:rPr>
          <w:rFonts w:hint="eastAsia" w:asciiTheme="majorEastAsia" w:hAnsiTheme="majorEastAsia" w:eastAsiaTheme="majorEastAsia" w:cstheme="majorEastAsia"/>
          <w:szCs w:val="32"/>
          <w:lang w:val="zh-TW" w:eastAsia="zh-TW"/>
        </w:rPr>
        <w:t>日</w:t>
      </w:r>
    </w:p>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合同附件：</w:t>
      </w:r>
    </w:p>
    <w:p>
      <w:pPr>
        <w:spacing w:line="560" w:lineRule="exact"/>
        <w:rPr>
          <w:rFonts w:asciiTheme="majorEastAsia" w:hAnsiTheme="majorEastAsia" w:eastAsiaTheme="majorEastAsia" w:cstheme="majorEastAsia"/>
          <w:szCs w:val="32"/>
        </w:rPr>
      </w:pPr>
    </w:p>
    <w:p>
      <w:pPr>
        <w:spacing w:line="560" w:lineRule="exact"/>
        <w:jc w:val="center"/>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资源性资产基本情况表</w:t>
      </w:r>
    </w:p>
    <w:p>
      <w:pPr>
        <w:spacing w:line="560" w:lineRule="exact"/>
        <w:rPr>
          <w:rFonts w:asciiTheme="majorEastAsia" w:hAnsiTheme="majorEastAsia" w:eastAsiaTheme="majorEastAsia" w:cstheme="majorEastAsia"/>
          <w:szCs w:val="32"/>
        </w:rPr>
      </w:pPr>
    </w:p>
    <w:tbl>
      <w:tblPr>
        <w:tblStyle w:val="4"/>
        <w:tblW w:w="9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2644"/>
        <w:gridCol w:w="1029"/>
        <w:gridCol w:w="1228"/>
        <w:gridCol w:w="1278"/>
        <w:gridCol w:w="1286"/>
        <w:gridCol w:w="1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7" w:type="dxa"/>
            <w:vMerge w:val="restar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序号</w:t>
            </w:r>
          </w:p>
        </w:tc>
        <w:tc>
          <w:tcPr>
            <w:tcW w:w="2644" w:type="dxa"/>
            <w:vMerge w:val="restar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资源名称</w:t>
            </w:r>
          </w:p>
        </w:tc>
        <w:tc>
          <w:tcPr>
            <w:tcW w:w="1029" w:type="dxa"/>
            <w:vMerge w:val="restar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面积</w:t>
            </w:r>
          </w:p>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（亩）</w:t>
            </w:r>
          </w:p>
        </w:tc>
        <w:tc>
          <w:tcPr>
            <w:tcW w:w="4949" w:type="dxa"/>
            <w:gridSpan w:val="4"/>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四至界限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837"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p>
        </w:tc>
        <w:tc>
          <w:tcPr>
            <w:tcW w:w="2644"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p>
        </w:tc>
        <w:tc>
          <w:tcPr>
            <w:tcW w:w="1029"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p>
        </w:tc>
        <w:tc>
          <w:tcPr>
            <w:tcW w:w="122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东</w:t>
            </w:r>
          </w:p>
        </w:tc>
        <w:tc>
          <w:tcPr>
            <w:tcW w:w="127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南</w:t>
            </w:r>
          </w:p>
        </w:tc>
        <w:tc>
          <w:tcPr>
            <w:tcW w:w="128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西</w:t>
            </w:r>
          </w:p>
        </w:tc>
        <w:tc>
          <w:tcPr>
            <w:tcW w:w="115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p>
        </w:tc>
        <w:tc>
          <w:tcPr>
            <w:tcW w:w="2644"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02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2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7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w:t>
            </w:r>
          </w:p>
        </w:tc>
        <w:tc>
          <w:tcPr>
            <w:tcW w:w="2644"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02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2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7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w:t>
            </w:r>
          </w:p>
        </w:tc>
        <w:tc>
          <w:tcPr>
            <w:tcW w:w="2644"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02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2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7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w:t>
            </w:r>
          </w:p>
        </w:tc>
        <w:tc>
          <w:tcPr>
            <w:tcW w:w="2644"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02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2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78"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59"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合计</w:t>
            </w:r>
          </w:p>
        </w:tc>
        <w:tc>
          <w:tcPr>
            <w:tcW w:w="8622" w:type="dxa"/>
            <w:gridSpan w:val="6"/>
            <w:tcBorders>
              <w:top w:val="single" w:color="auto" w:sz="4" w:space="0"/>
              <w:left w:val="single" w:color="auto" w:sz="4" w:space="0"/>
              <w:bottom w:val="single" w:color="auto" w:sz="4" w:space="0"/>
              <w:right w:val="single" w:color="auto" w:sz="4" w:space="0"/>
            </w:tcBorders>
            <w:vAlign w:val="center"/>
          </w:tcPr>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（大写）            亩（小写）          亩</w:t>
            </w:r>
          </w:p>
        </w:tc>
      </w:tr>
    </w:tbl>
    <w:p>
      <w:pPr>
        <w:spacing w:line="560" w:lineRule="exact"/>
        <w:rPr>
          <w:rFonts w:asciiTheme="majorEastAsia" w:hAnsiTheme="majorEastAsia" w:eastAsiaTheme="majorEastAsia" w:cstheme="majorEastAsia"/>
          <w:sz w:val="24"/>
          <w:szCs w:val="24"/>
        </w:rPr>
        <w:sectPr>
          <w:pgSz w:w="11906" w:h="16838"/>
          <w:pgMar w:top="1440" w:right="1800" w:bottom="1440" w:left="1800" w:header="851" w:footer="992" w:gutter="0"/>
          <w:cols w:space="425" w:num="1"/>
          <w:docGrid w:type="lines" w:linePitch="312" w:charSpace="0"/>
        </w:sectPr>
      </w:pPr>
    </w:p>
    <w:p>
      <w:pPr>
        <w:spacing w:line="560" w:lineRule="exact"/>
        <w:rPr>
          <w:rFonts w:asciiTheme="majorEastAsia" w:hAnsiTheme="majorEastAsia" w:eastAsiaTheme="majorEastAsia" w:cstheme="majorEastAsia"/>
          <w:b/>
          <w:bCs/>
          <w:szCs w:val="32"/>
        </w:rPr>
      </w:pPr>
      <w:r>
        <w:rPr>
          <w:rFonts w:hint="eastAsia" w:asciiTheme="majorEastAsia" w:hAnsiTheme="majorEastAsia" w:eastAsiaTheme="majorEastAsia" w:cstheme="majorEastAsia"/>
          <w:b/>
          <w:bCs/>
          <w:szCs w:val="32"/>
        </w:rPr>
        <w:t>附件</w:t>
      </w:r>
    </w:p>
    <w:p>
      <w:pPr>
        <w:spacing w:line="560" w:lineRule="exact"/>
        <w:jc w:val="center"/>
        <w:rPr>
          <w:rFonts w:asciiTheme="majorEastAsia" w:hAnsiTheme="majorEastAsia" w:eastAsiaTheme="majorEastAsia" w:cstheme="majorEastAsia"/>
          <w:szCs w:val="32"/>
        </w:rPr>
      </w:pPr>
      <w:r>
        <w:rPr>
          <w:rFonts w:hint="eastAsia" w:asciiTheme="majorEastAsia" w:hAnsiTheme="majorEastAsia" w:eastAsiaTheme="majorEastAsia" w:cstheme="majorEastAsia"/>
          <w:b/>
          <w:bCs/>
          <w:sz w:val="30"/>
          <w:szCs w:val="30"/>
        </w:rPr>
        <w:t>待划转至发包方的金额明细表</w:t>
      </w:r>
    </w:p>
    <w:p>
      <w:pPr>
        <w:spacing w:line="560" w:lineRule="exact"/>
        <w:rPr>
          <w:rFonts w:asciiTheme="majorEastAsia" w:hAnsiTheme="majorEastAsia" w:eastAsiaTheme="majorEastAsia" w:cstheme="majorEastAsia"/>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267"/>
        <w:gridCol w:w="329"/>
        <w:gridCol w:w="655"/>
        <w:gridCol w:w="821"/>
        <w:gridCol w:w="800"/>
        <w:gridCol w:w="1014"/>
        <w:gridCol w:w="698"/>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554" w:type="dxa"/>
            <w:vMerge w:val="restart"/>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承包方需支付金额</w:t>
            </w:r>
          </w:p>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w:t>
            </w:r>
          </w:p>
        </w:tc>
        <w:tc>
          <w:tcPr>
            <w:tcW w:w="1267"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竞价保证金(已付)</w:t>
            </w:r>
          </w:p>
        </w:tc>
        <w:tc>
          <w:tcPr>
            <w:tcW w:w="984" w:type="dxa"/>
            <w:gridSpan w:val="2"/>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本期合同尾款</w:t>
            </w:r>
          </w:p>
        </w:tc>
        <w:tc>
          <w:tcPr>
            <w:tcW w:w="821"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文书费</w:t>
            </w:r>
          </w:p>
        </w:tc>
        <w:tc>
          <w:tcPr>
            <w:tcW w:w="800"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场地费</w:t>
            </w:r>
          </w:p>
        </w:tc>
        <w:tc>
          <w:tcPr>
            <w:tcW w:w="1014"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鉴证服务费</w:t>
            </w:r>
          </w:p>
        </w:tc>
        <w:tc>
          <w:tcPr>
            <w:tcW w:w="698"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其他费用</w:t>
            </w:r>
          </w:p>
        </w:tc>
        <w:tc>
          <w:tcPr>
            <w:tcW w:w="1384"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54" w:type="dxa"/>
            <w:vMerge w:val="continue"/>
            <w:vAlign w:val="center"/>
          </w:tcPr>
          <w:p>
            <w:pPr>
              <w:spacing w:line="560" w:lineRule="exact"/>
              <w:jc w:val="center"/>
              <w:rPr>
                <w:rFonts w:asciiTheme="majorEastAsia" w:hAnsiTheme="majorEastAsia" w:eastAsiaTheme="majorEastAsia" w:cstheme="majorEastAsia"/>
                <w:sz w:val="24"/>
                <w:szCs w:val="24"/>
              </w:rPr>
            </w:pPr>
          </w:p>
        </w:tc>
        <w:tc>
          <w:tcPr>
            <w:tcW w:w="1267" w:type="dxa"/>
            <w:vAlign w:val="center"/>
          </w:tcPr>
          <w:p>
            <w:pPr>
              <w:spacing w:line="560" w:lineRule="exact"/>
              <w:jc w:val="center"/>
              <w:rPr>
                <w:rFonts w:asciiTheme="majorEastAsia" w:hAnsiTheme="majorEastAsia" w:eastAsiaTheme="majorEastAsia" w:cstheme="majorEastAsia"/>
                <w:sz w:val="24"/>
                <w:szCs w:val="24"/>
              </w:rPr>
            </w:pPr>
          </w:p>
        </w:tc>
        <w:tc>
          <w:tcPr>
            <w:tcW w:w="984" w:type="dxa"/>
            <w:gridSpan w:val="2"/>
            <w:vAlign w:val="center"/>
          </w:tcPr>
          <w:p>
            <w:pPr>
              <w:spacing w:line="560" w:lineRule="exact"/>
              <w:jc w:val="center"/>
              <w:rPr>
                <w:rFonts w:asciiTheme="majorEastAsia" w:hAnsiTheme="majorEastAsia" w:eastAsiaTheme="majorEastAsia" w:cstheme="majorEastAsia"/>
                <w:sz w:val="24"/>
                <w:szCs w:val="24"/>
              </w:rPr>
            </w:pPr>
          </w:p>
        </w:tc>
        <w:tc>
          <w:tcPr>
            <w:tcW w:w="821" w:type="dxa"/>
            <w:vAlign w:val="center"/>
          </w:tcPr>
          <w:p>
            <w:pPr>
              <w:spacing w:line="560" w:lineRule="exact"/>
              <w:jc w:val="center"/>
              <w:rPr>
                <w:rFonts w:asciiTheme="majorEastAsia" w:hAnsiTheme="majorEastAsia" w:eastAsiaTheme="majorEastAsia" w:cstheme="majorEastAsia"/>
                <w:sz w:val="24"/>
                <w:szCs w:val="24"/>
              </w:rPr>
            </w:pPr>
          </w:p>
        </w:tc>
        <w:tc>
          <w:tcPr>
            <w:tcW w:w="800" w:type="dxa"/>
            <w:vAlign w:val="center"/>
          </w:tcPr>
          <w:p>
            <w:pPr>
              <w:spacing w:line="560" w:lineRule="exact"/>
              <w:jc w:val="center"/>
              <w:rPr>
                <w:rFonts w:asciiTheme="majorEastAsia" w:hAnsiTheme="majorEastAsia" w:eastAsiaTheme="majorEastAsia" w:cstheme="majorEastAsia"/>
                <w:sz w:val="24"/>
                <w:szCs w:val="24"/>
              </w:rPr>
            </w:pPr>
          </w:p>
        </w:tc>
        <w:tc>
          <w:tcPr>
            <w:tcW w:w="1014" w:type="dxa"/>
            <w:vAlign w:val="center"/>
          </w:tcPr>
          <w:p>
            <w:pPr>
              <w:spacing w:line="560" w:lineRule="exact"/>
              <w:jc w:val="center"/>
              <w:rPr>
                <w:rFonts w:asciiTheme="majorEastAsia" w:hAnsiTheme="majorEastAsia" w:eastAsiaTheme="majorEastAsia" w:cstheme="majorEastAsia"/>
                <w:sz w:val="24"/>
                <w:szCs w:val="24"/>
              </w:rPr>
            </w:pPr>
          </w:p>
        </w:tc>
        <w:tc>
          <w:tcPr>
            <w:tcW w:w="698" w:type="dxa"/>
            <w:vAlign w:val="center"/>
          </w:tcPr>
          <w:p>
            <w:pPr>
              <w:spacing w:line="560" w:lineRule="exact"/>
              <w:jc w:val="center"/>
              <w:rPr>
                <w:rFonts w:asciiTheme="majorEastAsia" w:hAnsiTheme="majorEastAsia" w:eastAsiaTheme="majorEastAsia" w:cstheme="majorEastAsia"/>
                <w:sz w:val="24"/>
                <w:szCs w:val="24"/>
              </w:rPr>
            </w:pPr>
          </w:p>
        </w:tc>
        <w:tc>
          <w:tcPr>
            <w:tcW w:w="1384" w:type="dxa"/>
            <w:vAlign w:val="center"/>
          </w:tcPr>
          <w:p>
            <w:pPr>
              <w:spacing w:line="560" w:lineRule="exact"/>
              <w:jc w:val="center"/>
              <w:rPr>
                <w:rFonts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54" w:type="dxa"/>
            <w:vMerge w:val="restart"/>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农交所应扣除金额</w:t>
            </w:r>
          </w:p>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w:t>
            </w:r>
          </w:p>
        </w:tc>
        <w:tc>
          <w:tcPr>
            <w:tcW w:w="1596" w:type="dxa"/>
            <w:gridSpan w:val="2"/>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文书费</w:t>
            </w:r>
          </w:p>
        </w:tc>
        <w:tc>
          <w:tcPr>
            <w:tcW w:w="2276" w:type="dxa"/>
            <w:gridSpan w:val="3"/>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场地费</w:t>
            </w:r>
          </w:p>
        </w:tc>
        <w:tc>
          <w:tcPr>
            <w:tcW w:w="1712" w:type="dxa"/>
            <w:gridSpan w:val="2"/>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鉴证服务费</w:t>
            </w:r>
          </w:p>
        </w:tc>
        <w:tc>
          <w:tcPr>
            <w:tcW w:w="1384"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554" w:type="dxa"/>
            <w:vMerge w:val="continue"/>
            <w:vAlign w:val="center"/>
          </w:tcPr>
          <w:p>
            <w:pPr>
              <w:spacing w:line="560" w:lineRule="exact"/>
              <w:jc w:val="center"/>
              <w:rPr>
                <w:rFonts w:asciiTheme="majorEastAsia" w:hAnsiTheme="majorEastAsia" w:eastAsiaTheme="majorEastAsia" w:cstheme="majorEastAsia"/>
                <w:sz w:val="24"/>
                <w:szCs w:val="24"/>
              </w:rPr>
            </w:pPr>
          </w:p>
        </w:tc>
        <w:tc>
          <w:tcPr>
            <w:tcW w:w="1596" w:type="dxa"/>
            <w:gridSpan w:val="2"/>
            <w:vAlign w:val="center"/>
          </w:tcPr>
          <w:p>
            <w:pPr>
              <w:spacing w:line="560" w:lineRule="exact"/>
              <w:jc w:val="center"/>
              <w:rPr>
                <w:rFonts w:asciiTheme="majorEastAsia" w:hAnsiTheme="majorEastAsia" w:eastAsiaTheme="majorEastAsia" w:cstheme="majorEastAsia"/>
                <w:sz w:val="24"/>
                <w:szCs w:val="24"/>
              </w:rPr>
            </w:pPr>
          </w:p>
        </w:tc>
        <w:tc>
          <w:tcPr>
            <w:tcW w:w="2276" w:type="dxa"/>
            <w:gridSpan w:val="3"/>
            <w:vAlign w:val="center"/>
          </w:tcPr>
          <w:p>
            <w:pPr>
              <w:spacing w:line="560" w:lineRule="exact"/>
              <w:jc w:val="center"/>
              <w:rPr>
                <w:rFonts w:asciiTheme="majorEastAsia" w:hAnsiTheme="majorEastAsia" w:eastAsiaTheme="majorEastAsia" w:cstheme="majorEastAsia"/>
                <w:sz w:val="24"/>
                <w:szCs w:val="24"/>
              </w:rPr>
            </w:pPr>
          </w:p>
        </w:tc>
        <w:tc>
          <w:tcPr>
            <w:tcW w:w="1712" w:type="dxa"/>
            <w:gridSpan w:val="2"/>
            <w:vAlign w:val="center"/>
          </w:tcPr>
          <w:p>
            <w:pPr>
              <w:spacing w:line="560" w:lineRule="exact"/>
              <w:jc w:val="center"/>
              <w:rPr>
                <w:rFonts w:asciiTheme="majorEastAsia" w:hAnsiTheme="majorEastAsia" w:eastAsiaTheme="majorEastAsia" w:cstheme="majorEastAsia"/>
                <w:sz w:val="24"/>
                <w:szCs w:val="24"/>
              </w:rPr>
            </w:pPr>
          </w:p>
        </w:tc>
        <w:tc>
          <w:tcPr>
            <w:tcW w:w="1384" w:type="dxa"/>
          </w:tcPr>
          <w:p>
            <w:pPr>
              <w:spacing w:line="560" w:lineRule="exact"/>
              <w:jc w:val="center"/>
              <w:rPr>
                <w:rFonts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4" w:type="dxa"/>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待划转至发包方金额</w:t>
            </w:r>
          </w:p>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①-②</w:t>
            </w:r>
          </w:p>
        </w:tc>
        <w:tc>
          <w:tcPr>
            <w:tcW w:w="6968" w:type="dxa"/>
            <w:gridSpan w:val="8"/>
            <w:vAlign w:val="center"/>
          </w:tcPr>
          <w:p>
            <w:pPr>
              <w:spacing w:line="560" w:lineRule="exact"/>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元</w:t>
            </w:r>
          </w:p>
        </w:tc>
      </w:tr>
    </w:tbl>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说明：</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“本期合同尾款”系依据本合同承包方（即乙方）本期需要支付给发包方（即甲方）的价款；</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“文书费”系农交所向承包方提供产权流转交易资料的费用；</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“场地费”系农交所提供进场交易的场地、服务、网络设备费；</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“鉴证服务费”系农交所为此次流转交易提供鉴证服务并出具鉴证书的费用；</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“其他费用”系承包方应向其他部门缴纳的费用。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C434AE"/>
    <w:rsid w:val="51C43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2021-01-26T02:21:00Z</dcterms:created>
  <dc:creator>薄荷心柠檬泪！</dc:creator>
  <cp:lastModifiedBy>薄荷心柠檬泪！</cp:lastModifiedBy>
  <dcterms:modified xsi:type="dcterms:W3CDTF">2021-01-26T02:27:10Z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