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0" w:type="auto"/>
        <w:tblInd w:w="0" w:type="dxa"/>
        <w:tblLayout w:type="autofit"/>
        <w:tblCellMar>
          <w:top w:w="0" w:type="dxa"/>
          <w:left w:w="108" w:type="dxa"/>
          <w:bottom w:w="0" w:type="dxa"/>
          <w:right w:w="108" w:type="dxa"/>
        </w:tblCellMar>
      </w:tblPr>
      <w:tblGrid>
        <w:gridCol w:w="4239"/>
        <w:gridCol w:w="4283"/>
      </w:tblGrid>
      <w:tr>
        <w:tblPrEx>
          <w:tblCellMar>
            <w:top w:w="0" w:type="dxa"/>
            <w:left w:w="108" w:type="dxa"/>
            <w:bottom w:w="0" w:type="dxa"/>
            <w:right w:w="108" w:type="dxa"/>
          </w:tblCellMar>
        </w:tblPrEx>
        <w:tc>
          <w:tcPr>
            <w:tcW w:w="4643" w:type="dxa"/>
          </w:tcPr>
          <w:p>
            <w:pPr>
              <w:widowControl/>
              <w:snapToGrid w:val="0"/>
              <w:spacing w:line="500" w:lineRule="exact"/>
              <w:rPr>
                <w:rFonts w:ascii="Times New Roman" w:hAnsi="Times New Roman" w:eastAsia="宋体" w:cs="宋体"/>
                <w:kern w:val="0"/>
                <w:sz w:val="24"/>
                <w:szCs w:val="24"/>
              </w:rPr>
            </w:pPr>
            <w:bookmarkStart w:id="0" w:name="_Toc12821_WPSOffice_Level1"/>
            <w:bookmarkStart w:id="1" w:name="_Toc3966_WPSOffice_Level1"/>
          </w:p>
        </w:tc>
        <w:tc>
          <w:tcPr>
            <w:tcW w:w="4643" w:type="dxa"/>
          </w:tcPr>
          <w:p>
            <w:pPr>
              <w:widowControl/>
              <w:snapToGrid w:val="0"/>
              <w:spacing w:line="360" w:lineRule="auto"/>
              <w:jc w:val="center"/>
              <w:rPr>
                <w:rFonts w:ascii="Times New Roman" w:hAnsi="Times New Roman" w:eastAsia="宋体" w:cs="宋体"/>
                <w:kern w:val="0"/>
                <w:sz w:val="24"/>
                <w:szCs w:val="24"/>
              </w:rPr>
            </w:pPr>
            <w:bookmarkStart w:id="2" w:name="_GoBack"/>
            <w:bookmarkEnd w:id="2"/>
            <w:r>
              <w:rPr>
                <w:rFonts w:hint="eastAsia" w:ascii="Times New Roman" w:hAnsi="Times New Roman" w:eastAsia="宋体" w:cs="Times New Roman"/>
                <w:sz w:val="24"/>
                <w:szCs w:val="24"/>
              </w:rPr>
              <w:t>合同编号：</w:t>
            </w:r>
          </w:p>
        </w:tc>
      </w:tr>
    </w:tbl>
    <w:p>
      <w:pPr>
        <w:widowControl/>
        <w:snapToGrid w:val="0"/>
        <w:spacing w:line="500" w:lineRule="exact"/>
        <w:jc w:val="center"/>
        <w:rPr>
          <w:rFonts w:ascii="Times New Roman" w:hAnsi="Times New Roman" w:eastAsia="宋体" w:cs="宋体"/>
          <w:b/>
          <w:bCs/>
          <w:kern w:val="0"/>
          <w:sz w:val="44"/>
          <w:szCs w:val="44"/>
        </w:rPr>
      </w:pPr>
      <w:r>
        <w:rPr>
          <w:rFonts w:hint="eastAsia" w:ascii="Times New Roman" w:hAnsi="Times New Roman" w:eastAsia="宋体" w:cs="宋体"/>
          <w:b/>
          <w:bCs/>
          <w:kern w:val="0"/>
          <w:sz w:val="44"/>
          <w:szCs w:val="44"/>
        </w:rPr>
        <w:t>渝水区农村集体</w:t>
      </w:r>
      <w:r>
        <w:rPr>
          <w:rFonts w:hint="eastAsia" w:ascii="宋体" w:hAnsi="宋体" w:eastAsia="宋体" w:cs="宋体"/>
          <w:b/>
          <w:bCs/>
          <w:color w:val="000000" w:themeColor="text1"/>
          <w:sz w:val="44"/>
          <w:szCs w:val="44"/>
          <w14:textFill>
            <w14:solidFill>
              <w14:schemeClr w14:val="tx1"/>
            </w14:solidFill>
          </w14:textFill>
        </w:rPr>
        <w:t>经营</w:t>
      </w:r>
      <w:r>
        <w:rPr>
          <w:rFonts w:hint="eastAsia" w:ascii="Times New Roman" w:hAnsi="Times New Roman" w:eastAsia="宋体" w:cs="宋体"/>
          <w:b/>
          <w:bCs/>
          <w:kern w:val="0"/>
          <w:sz w:val="44"/>
          <w:szCs w:val="44"/>
        </w:rPr>
        <w:t>性资产</w:t>
      </w:r>
      <w:r>
        <w:rPr>
          <w:rFonts w:hint="eastAsia" w:ascii="宋体" w:hAnsi="宋体" w:eastAsia="宋体" w:cs="宋体"/>
          <w:b/>
          <w:bCs/>
          <w:color w:val="000000" w:themeColor="text1"/>
          <w:sz w:val="44"/>
          <w:szCs w:val="44"/>
          <w14:textFill>
            <w14:solidFill>
              <w14:schemeClr w14:val="tx1"/>
            </w14:solidFill>
          </w14:textFill>
        </w:rPr>
        <w:t>流转</w:t>
      </w:r>
      <w:r>
        <w:rPr>
          <w:rFonts w:hint="eastAsia" w:ascii="Times New Roman" w:hAnsi="Times New Roman" w:eastAsia="宋体" w:cs="宋体"/>
          <w:b/>
          <w:bCs/>
          <w:kern w:val="0"/>
          <w:sz w:val="44"/>
          <w:szCs w:val="44"/>
        </w:rPr>
        <w:t>合同</w:t>
      </w:r>
    </w:p>
    <w:p>
      <w:pPr>
        <w:widowControl/>
        <w:snapToGrid w:val="0"/>
        <w:spacing w:line="500" w:lineRule="exact"/>
        <w:jc w:val="center"/>
        <w:rPr>
          <w:rFonts w:ascii="Times New Roman" w:hAnsi="Times New Roman" w:eastAsia="宋体" w:cs="宋体"/>
          <w:b/>
          <w:bCs/>
          <w:kern w:val="0"/>
          <w:sz w:val="44"/>
          <w:szCs w:val="44"/>
        </w:rPr>
      </w:pPr>
      <w:r>
        <w:rPr>
          <w:rFonts w:hint="eastAsia" w:ascii="Times New Roman" w:hAnsi="Times New Roman" w:eastAsia="宋体" w:cs="宋体"/>
          <w:kern w:val="0"/>
          <w:sz w:val="24"/>
          <w:szCs w:val="21"/>
        </w:rPr>
        <w:t>（本合同适用于村集体经济组织流转集体经营性资产时使用）</w:t>
      </w:r>
      <w:bookmarkEnd w:id="0"/>
      <w:bookmarkEnd w:id="1"/>
    </w:p>
    <w:p>
      <w:pPr>
        <w:spacing w:line="500" w:lineRule="exact"/>
        <w:jc w:val="left"/>
        <w:rPr>
          <w:rFonts w:ascii="仿宋_GB2312" w:hAnsi="宋体" w:eastAsia="仿宋_GB2312" w:cs="宋体"/>
          <w:b/>
          <w:color w:val="000000" w:themeColor="text1"/>
          <w:sz w:val="24"/>
          <w14:textFill>
            <w14:solidFill>
              <w14:schemeClr w14:val="tx1"/>
            </w14:solidFill>
          </w14:textFill>
        </w:rPr>
      </w:pPr>
    </w:p>
    <w:tbl>
      <w:tblPr>
        <w:tblStyle w:val="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518"/>
        <w:gridCol w:w="2410"/>
        <w:gridCol w:w="1386"/>
        <w:gridCol w:w="22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4"/>
            <w:tcBorders>
              <w:top w:val="nil"/>
              <w:left w:val="nil"/>
              <w:bottom w:val="single" w:color="000000" w:sz="8" w:space="0"/>
              <w:right w:val="nil"/>
            </w:tcBorders>
          </w:tcPr>
          <w:p>
            <w:pPr>
              <w:pStyle w:val="2"/>
              <w:spacing w:line="500" w:lineRule="exact"/>
              <w:ind w:firstLine="0" w:firstLineChars="0"/>
              <w:outlineLvl w:val="0"/>
              <w:rPr>
                <w:rFonts w:ascii="黑体" w:hAnsi="黑体" w:eastAsia="黑体"/>
                <w:bCs/>
                <w:sz w:val="24"/>
              </w:rPr>
            </w:pPr>
            <w:r>
              <w:rPr>
                <w:rFonts w:hint="eastAsia" w:ascii="黑体" w:hAnsi="黑体" w:eastAsia="黑体"/>
                <w:bCs/>
                <w:sz w:val="24"/>
              </w:rPr>
              <w:t>甲方（转出方）名称：</w:t>
            </w:r>
            <w:r>
              <w:rPr>
                <w:rFonts w:hint="eastAsia" w:ascii="黑体" w:hAnsi="黑体" w:eastAsia="黑体"/>
                <w:bCs/>
                <w:sz w:val="24"/>
                <w:u w:val="single"/>
              </w:rPr>
              <w:t xml:space="preserve">                 </w:t>
            </w:r>
            <w:r>
              <w:rPr>
                <w:rFonts w:hint="eastAsia" w:ascii="黑体" w:hAnsi="黑体" w:eastAsia="黑体"/>
                <w:bCs/>
                <w:sz w:val="24"/>
              </w:rPr>
              <w:t>统一社会信用代码：</w:t>
            </w:r>
            <w:r>
              <w:rPr>
                <w:rFonts w:hint="eastAsia" w:ascii="黑体" w:hAnsi="黑体" w:eastAsia="黑体"/>
                <w:bCs/>
                <w:sz w:val="24"/>
                <w:u w:val="single"/>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8" w:type="dxa"/>
            <w:tcBorders>
              <w:top w:val="single" w:color="000000" w:sz="8" w:space="0"/>
              <w:left w:val="single" w:color="000000" w:sz="8" w:space="0"/>
            </w:tcBorders>
            <w:vAlign w:val="center"/>
          </w:tcPr>
          <w:p>
            <w:pPr>
              <w:pStyle w:val="2"/>
              <w:spacing w:line="500" w:lineRule="exact"/>
              <w:ind w:firstLine="0" w:firstLineChars="0"/>
              <w:jc w:val="center"/>
              <w:outlineLvl w:val="0"/>
              <w:rPr>
                <w:rFonts w:ascii="仿宋_GB2312" w:hAnsi="黑体" w:eastAsia="仿宋_GB2312"/>
                <w:bCs/>
                <w:sz w:val="24"/>
              </w:rPr>
            </w:pPr>
            <w:r>
              <w:rPr>
                <w:rFonts w:hint="eastAsia" w:ascii="仿宋_GB2312" w:hAnsi="黑体" w:eastAsia="仿宋_GB2312"/>
                <w:bCs/>
                <w:sz w:val="24"/>
              </w:rPr>
              <w:t>法定代表人或</w:t>
            </w:r>
          </w:p>
          <w:p>
            <w:pPr>
              <w:pStyle w:val="2"/>
              <w:spacing w:line="500" w:lineRule="exact"/>
              <w:ind w:firstLine="0" w:firstLineChars="0"/>
              <w:jc w:val="center"/>
              <w:outlineLvl w:val="0"/>
              <w:rPr>
                <w:rFonts w:ascii="仿宋_GB2312" w:hAnsi="黑体" w:eastAsia="仿宋_GB2312"/>
                <w:bCs/>
                <w:sz w:val="24"/>
              </w:rPr>
            </w:pPr>
            <w:r>
              <w:rPr>
                <w:rFonts w:hint="eastAsia" w:ascii="仿宋_GB2312" w:hAnsi="黑体" w:eastAsia="仿宋_GB2312"/>
                <w:bCs/>
                <w:sz w:val="24"/>
              </w:rPr>
              <w:t>主要负责人姓名</w:t>
            </w:r>
          </w:p>
        </w:tc>
        <w:tc>
          <w:tcPr>
            <w:tcW w:w="2410" w:type="dxa"/>
            <w:tcBorders>
              <w:top w:val="single" w:color="000000" w:sz="8" w:space="0"/>
            </w:tcBorders>
            <w:vAlign w:val="center"/>
          </w:tcPr>
          <w:p>
            <w:pPr>
              <w:pStyle w:val="2"/>
              <w:spacing w:line="500" w:lineRule="exact"/>
              <w:ind w:firstLine="0" w:firstLineChars="0"/>
              <w:jc w:val="center"/>
              <w:outlineLvl w:val="0"/>
              <w:rPr>
                <w:rFonts w:ascii="仿宋_GB2312" w:hAnsi="黑体" w:eastAsia="仿宋_GB2312"/>
                <w:bCs/>
                <w:sz w:val="24"/>
              </w:rPr>
            </w:pPr>
          </w:p>
        </w:tc>
        <w:tc>
          <w:tcPr>
            <w:tcW w:w="1386" w:type="dxa"/>
            <w:tcBorders>
              <w:top w:val="single" w:color="000000" w:sz="8" w:space="0"/>
            </w:tcBorders>
            <w:vAlign w:val="center"/>
          </w:tcPr>
          <w:p>
            <w:pPr>
              <w:pStyle w:val="2"/>
              <w:spacing w:line="500" w:lineRule="exact"/>
              <w:ind w:firstLine="0" w:firstLineChars="0"/>
              <w:jc w:val="center"/>
              <w:outlineLvl w:val="0"/>
              <w:rPr>
                <w:rFonts w:ascii="仿宋_GB2312" w:hAnsi="黑体" w:eastAsia="仿宋_GB2312"/>
                <w:bCs/>
                <w:sz w:val="24"/>
              </w:rPr>
            </w:pPr>
            <w:r>
              <w:rPr>
                <w:rFonts w:hint="eastAsia" w:ascii="仿宋_GB2312" w:hAnsi="黑体" w:eastAsia="仿宋_GB2312"/>
                <w:bCs/>
                <w:kern w:val="0"/>
                <w:sz w:val="24"/>
              </w:rPr>
              <w:t>身份证号</w:t>
            </w:r>
          </w:p>
        </w:tc>
        <w:tc>
          <w:tcPr>
            <w:tcW w:w="2208" w:type="dxa"/>
            <w:tcBorders>
              <w:top w:val="single" w:color="000000" w:sz="8" w:space="0"/>
              <w:right w:val="single" w:color="000000" w:sz="8" w:space="0"/>
            </w:tcBorders>
            <w:vAlign w:val="center"/>
          </w:tcPr>
          <w:p>
            <w:pPr>
              <w:pStyle w:val="2"/>
              <w:spacing w:line="500" w:lineRule="exact"/>
              <w:ind w:firstLine="0" w:firstLineChars="0"/>
              <w:jc w:val="center"/>
              <w:outlineLvl w:val="0"/>
              <w:rPr>
                <w:rFonts w:ascii="仿宋_GB2312" w:hAnsi="黑体"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8" w:type="dxa"/>
            <w:tcBorders>
              <w:top w:val="single" w:color="000000" w:sz="8" w:space="0"/>
              <w:left w:val="single" w:color="000000" w:sz="8" w:space="0"/>
            </w:tcBorders>
            <w:vAlign w:val="center"/>
          </w:tcPr>
          <w:p>
            <w:pPr>
              <w:pStyle w:val="2"/>
              <w:spacing w:line="500" w:lineRule="exact"/>
              <w:ind w:firstLine="0" w:firstLineChars="0"/>
              <w:jc w:val="center"/>
              <w:outlineLvl w:val="0"/>
              <w:rPr>
                <w:rFonts w:ascii="仿宋_GB2312" w:hAnsi="黑体" w:eastAsia="仿宋_GB2312"/>
                <w:bCs/>
                <w:sz w:val="24"/>
              </w:rPr>
            </w:pPr>
            <w:r>
              <w:rPr>
                <w:rFonts w:hint="eastAsia" w:ascii="仿宋_GB2312" w:hAnsi="黑体" w:eastAsia="仿宋_GB2312"/>
                <w:bCs/>
                <w:spacing w:val="10"/>
                <w:kern w:val="0"/>
                <w:sz w:val="24"/>
                <w:fitText w:val="1050" w:id="0"/>
              </w:rPr>
              <w:t>联系方</w:t>
            </w:r>
            <w:r>
              <w:rPr>
                <w:rFonts w:hint="eastAsia" w:ascii="仿宋_GB2312" w:hAnsi="黑体" w:eastAsia="仿宋_GB2312"/>
                <w:bCs/>
                <w:spacing w:val="15"/>
                <w:kern w:val="0"/>
                <w:sz w:val="24"/>
                <w:fitText w:val="1050" w:id="0"/>
              </w:rPr>
              <w:t>式</w:t>
            </w:r>
          </w:p>
        </w:tc>
        <w:tc>
          <w:tcPr>
            <w:tcW w:w="2410" w:type="dxa"/>
            <w:tcBorders>
              <w:top w:val="single" w:color="000000" w:sz="8" w:space="0"/>
            </w:tcBorders>
            <w:vAlign w:val="center"/>
          </w:tcPr>
          <w:p>
            <w:pPr>
              <w:pStyle w:val="2"/>
              <w:spacing w:line="500" w:lineRule="exact"/>
              <w:ind w:firstLine="0" w:firstLineChars="0"/>
              <w:jc w:val="center"/>
              <w:outlineLvl w:val="0"/>
              <w:rPr>
                <w:rFonts w:ascii="仿宋_GB2312" w:hAnsi="黑体" w:eastAsia="仿宋_GB2312"/>
                <w:bCs/>
                <w:sz w:val="24"/>
              </w:rPr>
            </w:pPr>
          </w:p>
        </w:tc>
        <w:tc>
          <w:tcPr>
            <w:tcW w:w="1386" w:type="dxa"/>
            <w:tcBorders>
              <w:top w:val="single" w:color="000000" w:sz="8" w:space="0"/>
            </w:tcBorders>
            <w:vAlign w:val="center"/>
          </w:tcPr>
          <w:p>
            <w:pPr>
              <w:pStyle w:val="2"/>
              <w:spacing w:line="500" w:lineRule="exact"/>
              <w:ind w:firstLine="0" w:firstLineChars="0"/>
              <w:jc w:val="center"/>
              <w:outlineLvl w:val="0"/>
              <w:rPr>
                <w:rFonts w:ascii="仿宋_GB2312" w:hAnsi="黑体" w:eastAsia="仿宋_GB2312"/>
                <w:bCs/>
                <w:kern w:val="0"/>
                <w:sz w:val="24"/>
              </w:rPr>
            </w:pPr>
            <w:r>
              <w:rPr>
                <w:rFonts w:hint="eastAsia" w:ascii="仿宋_GB2312" w:hAnsi="黑体" w:eastAsia="仿宋_GB2312"/>
                <w:bCs/>
                <w:sz w:val="24"/>
              </w:rPr>
              <w:t>地    址</w:t>
            </w:r>
          </w:p>
        </w:tc>
        <w:tc>
          <w:tcPr>
            <w:tcW w:w="2208" w:type="dxa"/>
            <w:tcBorders>
              <w:top w:val="single" w:color="000000" w:sz="8" w:space="0"/>
              <w:right w:val="single" w:color="000000" w:sz="8" w:space="0"/>
            </w:tcBorders>
            <w:vAlign w:val="center"/>
          </w:tcPr>
          <w:p>
            <w:pPr>
              <w:pStyle w:val="2"/>
              <w:spacing w:line="500" w:lineRule="exact"/>
              <w:ind w:firstLine="0" w:firstLineChars="0"/>
              <w:jc w:val="center"/>
              <w:outlineLvl w:val="0"/>
              <w:rPr>
                <w:rFonts w:ascii="仿宋_GB2312" w:hAnsi="黑体"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8" w:type="dxa"/>
            <w:tcBorders>
              <w:left w:val="single" w:color="000000" w:sz="8" w:space="0"/>
              <w:bottom w:val="thinThickThinSmallGap" w:color="auto" w:sz="12" w:space="0"/>
            </w:tcBorders>
          </w:tcPr>
          <w:p>
            <w:pPr>
              <w:pStyle w:val="2"/>
              <w:spacing w:line="500" w:lineRule="exact"/>
              <w:ind w:firstLine="0" w:firstLineChars="0"/>
              <w:jc w:val="center"/>
              <w:outlineLvl w:val="0"/>
              <w:rPr>
                <w:rFonts w:ascii="仿宋_GB2312" w:hAnsi="黑体" w:eastAsia="仿宋_GB2312"/>
                <w:bCs/>
                <w:sz w:val="24"/>
              </w:rPr>
            </w:pPr>
            <w:r>
              <w:rPr>
                <w:rFonts w:hint="eastAsia" w:ascii="仿宋_GB2312" w:hAnsi="黑体" w:eastAsia="仿宋_GB2312"/>
                <w:bCs/>
                <w:spacing w:val="10"/>
                <w:kern w:val="0"/>
                <w:sz w:val="24"/>
                <w:fitText w:val="1050" w:id="1"/>
              </w:rPr>
              <w:t>开户银</w:t>
            </w:r>
            <w:r>
              <w:rPr>
                <w:rFonts w:hint="eastAsia" w:ascii="仿宋_GB2312" w:hAnsi="黑体" w:eastAsia="仿宋_GB2312"/>
                <w:bCs/>
                <w:spacing w:val="15"/>
                <w:kern w:val="0"/>
                <w:sz w:val="24"/>
                <w:fitText w:val="1050" w:id="1"/>
              </w:rPr>
              <w:t>行</w:t>
            </w:r>
          </w:p>
        </w:tc>
        <w:tc>
          <w:tcPr>
            <w:tcW w:w="2410" w:type="dxa"/>
            <w:tcBorders>
              <w:bottom w:val="thinThickThinSmallGap" w:color="auto" w:sz="12" w:space="0"/>
            </w:tcBorders>
          </w:tcPr>
          <w:p>
            <w:pPr>
              <w:pStyle w:val="2"/>
              <w:spacing w:line="500" w:lineRule="exact"/>
              <w:ind w:firstLine="0" w:firstLineChars="0"/>
              <w:jc w:val="center"/>
              <w:outlineLvl w:val="0"/>
              <w:rPr>
                <w:rFonts w:ascii="仿宋_GB2312" w:hAnsi="黑体" w:eastAsia="仿宋_GB2312"/>
                <w:bCs/>
                <w:sz w:val="24"/>
              </w:rPr>
            </w:pPr>
          </w:p>
        </w:tc>
        <w:tc>
          <w:tcPr>
            <w:tcW w:w="1386" w:type="dxa"/>
            <w:tcBorders>
              <w:bottom w:val="thinThickThinSmallGap" w:color="auto" w:sz="12" w:space="0"/>
            </w:tcBorders>
          </w:tcPr>
          <w:p>
            <w:pPr>
              <w:pStyle w:val="2"/>
              <w:spacing w:line="500" w:lineRule="exact"/>
              <w:ind w:firstLine="0" w:firstLineChars="0"/>
              <w:jc w:val="center"/>
              <w:outlineLvl w:val="0"/>
              <w:rPr>
                <w:rFonts w:ascii="仿宋_GB2312" w:hAnsi="黑体" w:eastAsia="仿宋_GB2312"/>
                <w:bCs/>
                <w:sz w:val="24"/>
              </w:rPr>
            </w:pPr>
            <w:r>
              <w:rPr>
                <w:rFonts w:hint="eastAsia" w:ascii="仿宋_GB2312" w:hAnsi="黑体" w:eastAsia="仿宋_GB2312"/>
                <w:bCs/>
                <w:spacing w:val="10"/>
                <w:kern w:val="0"/>
                <w:sz w:val="24"/>
                <w:fitText w:val="1050" w:id="2"/>
              </w:rPr>
              <w:t>银行账</w:t>
            </w:r>
            <w:r>
              <w:rPr>
                <w:rFonts w:hint="eastAsia" w:ascii="仿宋_GB2312" w:hAnsi="黑体" w:eastAsia="仿宋_GB2312"/>
                <w:bCs/>
                <w:spacing w:val="15"/>
                <w:kern w:val="0"/>
                <w:sz w:val="24"/>
                <w:fitText w:val="1050" w:id="2"/>
              </w:rPr>
              <w:t>号</w:t>
            </w:r>
          </w:p>
        </w:tc>
        <w:tc>
          <w:tcPr>
            <w:tcW w:w="2208" w:type="dxa"/>
            <w:tcBorders>
              <w:bottom w:val="thinThickThinSmallGap" w:color="auto" w:sz="12" w:space="0"/>
              <w:right w:val="single" w:color="000000" w:sz="8" w:space="0"/>
            </w:tcBorders>
          </w:tcPr>
          <w:p>
            <w:pPr>
              <w:pStyle w:val="2"/>
              <w:spacing w:line="500" w:lineRule="exact"/>
              <w:ind w:firstLine="0" w:firstLineChars="0"/>
              <w:outlineLvl w:val="0"/>
              <w:rPr>
                <w:rFonts w:ascii="仿宋_GB2312" w:hAnsi="黑体"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8" w:type="dxa"/>
            <w:tcBorders>
              <w:top w:val="thinThickThinSmallGap" w:color="auto" w:sz="12" w:space="0"/>
              <w:left w:val="single" w:color="000000" w:sz="8" w:space="0"/>
              <w:bottom w:val="single" w:color="000000" w:sz="4" w:space="0"/>
            </w:tcBorders>
          </w:tcPr>
          <w:p>
            <w:pPr>
              <w:pStyle w:val="2"/>
              <w:spacing w:line="500" w:lineRule="exact"/>
              <w:ind w:firstLine="0" w:firstLineChars="0"/>
              <w:jc w:val="center"/>
              <w:outlineLvl w:val="0"/>
              <w:rPr>
                <w:rFonts w:ascii="仿宋_GB2312" w:hAnsi="黑体" w:eastAsia="仿宋_GB2312"/>
                <w:bCs/>
                <w:sz w:val="24"/>
              </w:rPr>
            </w:pPr>
            <w:r>
              <w:rPr>
                <w:rFonts w:hint="eastAsia" w:ascii="仿宋_GB2312" w:hAnsi="黑体" w:eastAsia="仿宋_GB2312"/>
                <w:bCs/>
                <w:sz w:val="24"/>
              </w:rPr>
              <w:t>代理人姓名</w:t>
            </w:r>
          </w:p>
        </w:tc>
        <w:tc>
          <w:tcPr>
            <w:tcW w:w="2410" w:type="dxa"/>
            <w:tcBorders>
              <w:top w:val="thinThickThinSmallGap" w:color="auto" w:sz="12" w:space="0"/>
              <w:bottom w:val="single" w:color="000000" w:sz="4" w:space="0"/>
            </w:tcBorders>
          </w:tcPr>
          <w:p>
            <w:pPr>
              <w:pStyle w:val="2"/>
              <w:spacing w:line="500" w:lineRule="exact"/>
              <w:ind w:firstLine="0" w:firstLineChars="0"/>
              <w:jc w:val="center"/>
              <w:outlineLvl w:val="0"/>
              <w:rPr>
                <w:rFonts w:ascii="仿宋_GB2312" w:hAnsi="黑体" w:eastAsia="仿宋_GB2312"/>
                <w:bCs/>
                <w:sz w:val="24"/>
              </w:rPr>
            </w:pPr>
          </w:p>
        </w:tc>
        <w:tc>
          <w:tcPr>
            <w:tcW w:w="1386" w:type="dxa"/>
            <w:tcBorders>
              <w:top w:val="thinThickThinSmallGap" w:color="auto" w:sz="12" w:space="0"/>
              <w:bottom w:val="single" w:color="000000" w:sz="4" w:space="0"/>
            </w:tcBorders>
          </w:tcPr>
          <w:p>
            <w:pPr>
              <w:pStyle w:val="2"/>
              <w:spacing w:line="500" w:lineRule="exact"/>
              <w:ind w:firstLine="0" w:firstLineChars="0"/>
              <w:jc w:val="center"/>
              <w:outlineLvl w:val="0"/>
              <w:rPr>
                <w:rFonts w:ascii="仿宋_GB2312" w:hAnsi="黑体" w:eastAsia="仿宋_GB2312"/>
                <w:bCs/>
                <w:sz w:val="24"/>
              </w:rPr>
            </w:pPr>
            <w:r>
              <w:rPr>
                <w:rFonts w:hint="eastAsia" w:ascii="仿宋_GB2312" w:hAnsi="黑体" w:eastAsia="仿宋_GB2312"/>
                <w:bCs/>
                <w:spacing w:val="10"/>
                <w:kern w:val="0"/>
                <w:sz w:val="24"/>
                <w:fitText w:val="1050" w:id="3"/>
              </w:rPr>
              <w:t>联系方</w:t>
            </w:r>
            <w:r>
              <w:rPr>
                <w:rFonts w:hint="eastAsia" w:ascii="仿宋_GB2312" w:hAnsi="黑体" w:eastAsia="仿宋_GB2312"/>
                <w:bCs/>
                <w:spacing w:val="15"/>
                <w:kern w:val="0"/>
                <w:sz w:val="24"/>
                <w:fitText w:val="1050" w:id="3"/>
              </w:rPr>
              <w:t>式</w:t>
            </w:r>
          </w:p>
        </w:tc>
        <w:tc>
          <w:tcPr>
            <w:tcW w:w="2208" w:type="dxa"/>
            <w:tcBorders>
              <w:top w:val="thinThickThinSmallGap" w:color="auto" w:sz="12" w:space="0"/>
              <w:bottom w:val="single" w:color="000000" w:sz="4" w:space="0"/>
              <w:right w:val="single" w:color="000000" w:sz="8" w:space="0"/>
            </w:tcBorders>
          </w:tcPr>
          <w:p>
            <w:pPr>
              <w:pStyle w:val="2"/>
              <w:spacing w:line="500" w:lineRule="exact"/>
              <w:ind w:firstLine="0" w:firstLineChars="0"/>
              <w:outlineLvl w:val="0"/>
              <w:rPr>
                <w:rFonts w:ascii="仿宋_GB2312" w:hAnsi="黑体"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8" w:type="dxa"/>
            <w:tcBorders>
              <w:left w:val="single" w:color="000000" w:sz="8" w:space="0"/>
              <w:bottom w:val="single" w:color="000000" w:sz="8" w:space="0"/>
            </w:tcBorders>
          </w:tcPr>
          <w:p>
            <w:pPr>
              <w:pStyle w:val="2"/>
              <w:spacing w:line="500" w:lineRule="exact"/>
              <w:ind w:firstLine="0" w:firstLineChars="0"/>
              <w:jc w:val="center"/>
              <w:outlineLvl w:val="0"/>
              <w:rPr>
                <w:rFonts w:ascii="仿宋_GB2312" w:hAnsi="黑体" w:eastAsia="仿宋_GB2312"/>
                <w:bCs/>
                <w:sz w:val="24"/>
              </w:rPr>
            </w:pPr>
            <w:r>
              <w:rPr>
                <w:rFonts w:hint="eastAsia" w:ascii="仿宋_GB2312" w:hAnsi="黑体" w:eastAsia="仿宋_GB2312"/>
                <w:bCs/>
                <w:kern w:val="0"/>
                <w:sz w:val="24"/>
              </w:rPr>
              <w:t>身份证号</w:t>
            </w:r>
          </w:p>
        </w:tc>
        <w:tc>
          <w:tcPr>
            <w:tcW w:w="2410" w:type="dxa"/>
            <w:tcBorders>
              <w:bottom w:val="single" w:color="000000" w:sz="8" w:space="0"/>
            </w:tcBorders>
          </w:tcPr>
          <w:p>
            <w:pPr>
              <w:pStyle w:val="2"/>
              <w:spacing w:line="500" w:lineRule="exact"/>
              <w:ind w:firstLine="0" w:firstLineChars="0"/>
              <w:jc w:val="center"/>
              <w:outlineLvl w:val="0"/>
              <w:rPr>
                <w:rFonts w:ascii="仿宋_GB2312" w:hAnsi="黑体" w:eastAsia="仿宋_GB2312"/>
                <w:bCs/>
                <w:sz w:val="24"/>
              </w:rPr>
            </w:pPr>
          </w:p>
        </w:tc>
        <w:tc>
          <w:tcPr>
            <w:tcW w:w="1386" w:type="dxa"/>
            <w:tcBorders>
              <w:bottom w:val="single" w:color="000000" w:sz="8" w:space="0"/>
            </w:tcBorders>
          </w:tcPr>
          <w:p>
            <w:pPr>
              <w:pStyle w:val="2"/>
              <w:spacing w:line="500" w:lineRule="exact"/>
              <w:ind w:firstLine="0" w:firstLineChars="0"/>
              <w:jc w:val="center"/>
              <w:outlineLvl w:val="0"/>
              <w:rPr>
                <w:rFonts w:ascii="仿宋_GB2312" w:hAnsi="黑体" w:eastAsia="仿宋_GB2312"/>
                <w:bCs/>
                <w:sz w:val="24"/>
              </w:rPr>
            </w:pPr>
            <w:r>
              <w:rPr>
                <w:rFonts w:hint="eastAsia" w:ascii="仿宋_GB2312" w:hAnsi="黑体" w:eastAsia="仿宋_GB2312"/>
                <w:bCs/>
                <w:sz w:val="24"/>
              </w:rPr>
              <w:t>地    址</w:t>
            </w:r>
          </w:p>
        </w:tc>
        <w:tc>
          <w:tcPr>
            <w:tcW w:w="2208" w:type="dxa"/>
            <w:tcBorders>
              <w:bottom w:val="single" w:color="000000" w:sz="8" w:space="0"/>
              <w:right w:val="single" w:color="000000" w:sz="8" w:space="0"/>
            </w:tcBorders>
          </w:tcPr>
          <w:p>
            <w:pPr>
              <w:pStyle w:val="2"/>
              <w:spacing w:line="500" w:lineRule="exact"/>
              <w:ind w:firstLine="0" w:firstLineChars="0"/>
              <w:outlineLvl w:val="0"/>
              <w:rPr>
                <w:rFonts w:ascii="仿宋_GB2312" w:hAnsi="黑体"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4"/>
            <w:tcBorders>
              <w:top w:val="single" w:color="000000" w:sz="8" w:space="0"/>
              <w:left w:val="nil"/>
              <w:bottom w:val="single" w:color="000000" w:sz="8" w:space="0"/>
              <w:right w:val="nil"/>
            </w:tcBorders>
          </w:tcPr>
          <w:p>
            <w:pPr>
              <w:pStyle w:val="2"/>
              <w:spacing w:line="500" w:lineRule="exact"/>
              <w:ind w:firstLine="0" w:firstLineChars="0"/>
              <w:outlineLvl w:val="0"/>
              <w:rPr>
                <w:rFonts w:ascii="黑体" w:hAnsi="黑体" w:eastAsia="黑体"/>
                <w:bCs/>
                <w:sz w:val="24"/>
              </w:rPr>
            </w:pPr>
            <w:r>
              <w:rPr>
                <w:rFonts w:hint="eastAsia" w:ascii="黑体" w:hAnsi="黑体" w:eastAsia="黑体"/>
                <w:bCs/>
                <w:sz w:val="24"/>
              </w:rPr>
              <w:t>乙方（转入方）名称：</w:t>
            </w:r>
            <w:r>
              <w:rPr>
                <w:rFonts w:hint="eastAsia" w:ascii="黑体" w:hAnsi="黑体" w:eastAsia="黑体"/>
                <w:bCs/>
                <w:sz w:val="24"/>
                <w:u w:val="single"/>
              </w:rPr>
              <w:t xml:space="preserve">                 </w:t>
            </w:r>
            <w:r>
              <w:rPr>
                <w:rFonts w:hint="eastAsia" w:ascii="黑体" w:hAnsi="黑体" w:eastAsia="黑体"/>
                <w:bCs/>
                <w:sz w:val="24"/>
              </w:rPr>
              <w:t>统一社会信用代码：</w:t>
            </w:r>
            <w:r>
              <w:rPr>
                <w:rFonts w:hint="eastAsia" w:ascii="黑体" w:hAnsi="黑体" w:eastAsia="黑体"/>
                <w:bCs/>
                <w:sz w:val="24"/>
                <w:u w:val="single"/>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8" w:type="dxa"/>
            <w:tcBorders>
              <w:top w:val="single" w:color="000000" w:sz="8" w:space="0"/>
              <w:left w:val="single" w:color="000000" w:sz="8" w:space="0"/>
            </w:tcBorders>
          </w:tcPr>
          <w:p>
            <w:pPr>
              <w:pStyle w:val="2"/>
              <w:spacing w:line="500" w:lineRule="exact"/>
              <w:ind w:firstLine="0" w:firstLineChars="0"/>
              <w:jc w:val="center"/>
              <w:outlineLvl w:val="0"/>
              <w:rPr>
                <w:rFonts w:ascii="仿宋_GB2312" w:hAnsi="黑体" w:eastAsia="仿宋_GB2312"/>
                <w:bCs/>
                <w:sz w:val="24"/>
              </w:rPr>
            </w:pPr>
            <w:r>
              <w:rPr>
                <w:rFonts w:hint="eastAsia" w:ascii="仿宋_GB2312" w:hAnsi="黑体" w:eastAsia="仿宋_GB2312"/>
                <w:bCs/>
                <w:sz w:val="24"/>
              </w:rPr>
              <w:t>法定代表人或</w:t>
            </w:r>
          </w:p>
          <w:p>
            <w:pPr>
              <w:pStyle w:val="2"/>
              <w:spacing w:line="500" w:lineRule="exact"/>
              <w:ind w:firstLine="0" w:firstLineChars="0"/>
              <w:jc w:val="center"/>
              <w:outlineLvl w:val="0"/>
              <w:rPr>
                <w:rFonts w:ascii="仿宋_GB2312" w:hAnsi="黑体" w:eastAsia="仿宋_GB2312"/>
                <w:bCs/>
                <w:sz w:val="24"/>
              </w:rPr>
            </w:pPr>
            <w:r>
              <w:rPr>
                <w:rFonts w:hint="eastAsia" w:ascii="仿宋_GB2312" w:hAnsi="黑体" w:eastAsia="仿宋_GB2312"/>
                <w:bCs/>
                <w:sz w:val="24"/>
              </w:rPr>
              <w:t>主要负责人姓名</w:t>
            </w:r>
          </w:p>
        </w:tc>
        <w:tc>
          <w:tcPr>
            <w:tcW w:w="2410" w:type="dxa"/>
            <w:tcBorders>
              <w:top w:val="single" w:color="000000" w:sz="8" w:space="0"/>
            </w:tcBorders>
          </w:tcPr>
          <w:p>
            <w:pPr>
              <w:pStyle w:val="2"/>
              <w:spacing w:line="500" w:lineRule="exact"/>
              <w:ind w:firstLine="0" w:firstLineChars="0"/>
              <w:outlineLvl w:val="0"/>
              <w:rPr>
                <w:rFonts w:ascii="仿宋_GB2312" w:hAnsi="黑体" w:eastAsia="仿宋_GB2312"/>
                <w:bCs/>
                <w:sz w:val="24"/>
              </w:rPr>
            </w:pPr>
          </w:p>
        </w:tc>
        <w:tc>
          <w:tcPr>
            <w:tcW w:w="1386" w:type="dxa"/>
            <w:tcBorders>
              <w:top w:val="single" w:color="000000" w:sz="8" w:space="0"/>
            </w:tcBorders>
            <w:vAlign w:val="center"/>
          </w:tcPr>
          <w:p>
            <w:pPr>
              <w:pStyle w:val="2"/>
              <w:spacing w:line="500" w:lineRule="exact"/>
              <w:ind w:firstLine="0" w:firstLineChars="0"/>
              <w:jc w:val="center"/>
              <w:outlineLvl w:val="0"/>
              <w:rPr>
                <w:rFonts w:ascii="仿宋_GB2312" w:hAnsi="黑体" w:eastAsia="仿宋_GB2312"/>
                <w:bCs/>
                <w:sz w:val="24"/>
              </w:rPr>
            </w:pPr>
            <w:r>
              <w:rPr>
                <w:rFonts w:ascii="仿宋_GB2312" w:hAnsi="黑体" w:eastAsia="仿宋_GB2312"/>
                <w:bCs/>
                <w:kern w:val="0"/>
                <w:sz w:val="24"/>
              </w:rPr>
              <w:t>身份证号</w:t>
            </w:r>
          </w:p>
        </w:tc>
        <w:tc>
          <w:tcPr>
            <w:tcW w:w="2208" w:type="dxa"/>
            <w:tcBorders>
              <w:top w:val="single" w:color="000000" w:sz="8" w:space="0"/>
              <w:right w:val="single" w:color="000000" w:sz="8" w:space="0"/>
            </w:tcBorders>
          </w:tcPr>
          <w:p>
            <w:pPr>
              <w:pStyle w:val="2"/>
              <w:spacing w:line="500" w:lineRule="exact"/>
              <w:ind w:firstLine="0" w:firstLineChars="0"/>
              <w:outlineLvl w:val="0"/>
              <w:rPr>
                <w:rFonts w:ascii="仿宋_GB2312" w:hAnsi="黑体"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8" w:type="dxa"/>
            <w:tcBorders>
              <w:left w:val="single" w:color="000000" w:sz="8" w:space="0"/>
            </w:tcBorders>
          </w:tcPr>
          <w:p>
            <w:pPr>
              <w:pStyle w:val="2"/>
              <w:spacing w:line="500" w:lineRule="exact"/>
              <w:ind w:firstLine="0" w:firstLineChars="0"/>
              <w:jc w:val="center"/>
              <w:outlineLvl w:val="0"/>
              <w:rPr>
                <w:rFonts w:ascii="仿宋_GB2312" w:hAnsi="黑体" w:eastAsia="仿宋_GB2312"/>
                <w:bCs/>
                <w:sz w:val="24"/>
              </w:rPr>
            </w:pPr>
            <w:r>
              <w:rPr>
                <w:rFonts w:hint="eastAsia" w:ascii="仿宋_GB2312" w:hAnsi="黑体" w:eastAsia="仿宋_GB2312"/>
                <w:bCs/>
                <w:spacing w:val="10"/>
                <w:kern w:val="0"/>
                <w:sz w:val="24"/>
                <w:fitText w:val="1050" w:id="4"/>
              </w:rPr>
              <w:t>联系方</w:t>
            </w:r>
            <w:r>
              <w:rPr>
                <w:rFonts w:hint="eastAsia" w:ascii="仿宋_GB2312" w:hAnsi="黑体" w:eastAsia="仿宋_GB2312"/>
                <w:bCs/>
                <w:spacing w:val="15"/>
                <w:kern w:val="0"/>
                <w:sz w:val="24"/>
                <w:fitText w:val="1050" w:id="4"/>
              </w:rPr>
              <w:t>式</w:t>
            </w:r>
          </w:p>
        </w:tc>
        <w:tc>
          <w:tcPr>
            <w:tcW w:w="2410" w:type="dxa"/>
          </w:tcPr>
          <w:p>
            <w:pPr>
              <w:pStyle w:val="2"/>
              <w:spacing w:line="500" w:lineRule="exact"/>
              <w:ind w:firstLine="0" w:firstLineChars="0"/>
              <w:jc w:val="center"/>
              <w:outlineLvl w:val="0"/>
              <w:rPr>
                <w:rFonts w:ascii="仿宋_GB2312" w:hAnsi="黑体" w:eastAsia="仿宋_GB2312"/>
                <w:bCs/>
                <w:sz w:val="24"/>
              </w:rPr>
            </w:pPr>
          </w:p>
        </w:tc>
        <w:tc>
          <w:tcPr>
            <w:tcW w:w="1386" w:type="dxa"/>
          </w:tcPr>
          <w:p>
            <w:pPr>
              <w:pStyle w:val="2"/>
              <w:spacing w:line="500" w:lineRule="exact"/>
              <w:ind w:firstLine="0" w:firstLineChars="0"/>
              <w:jc w:val="center"/>
              <w:outlineLvl w:val="0"/>
              <w:rPr>
                <w:rFonts w:ascii="仿宋_GB2312" w:hAnsi="黑体" w:eastAsia="仿宋_GB2312"/>
                <w:bCs/>
                <w:sz w:val="24"/>
              </w:rPr>
            </w:pPr>
            <w:r>
              <w:rPr>
                <w:rFonts w:hint="eastAsia" w:ascii="仿宋_GB2312" w:hAnsi="黑体" w:eastAsia="仿宋_GB2312"/>
                <w:bCs/>
                <w:sz w:val="24"/>
              </w:rPr>
              <w:t>地    址</w:t>
            </w:r>
          </w:p>
        </w:tc>
        <w:tc>
          <w:tcPr>
            <w:tcW w:w="2208" w:type="dxa"/>
            <w:tcBorders>
              <w:right w:val="single" w:color="000000" w:sz="8" w:space="0"/>
            </w:tcBorders>
          </w:tcPr>
          <w:p>
            <w:pPr>
              <w:pStyle w:val="2"/>
              <w:spacing w:line="500" w:lineRule="exact"/>
              <w:ind w:firstLine="0" w:firstLineChars="0"/>
              <w:outlineLvl w:val="0"/>
              <w:rPr>
                <w:rFonts w:ascii="仿宋_GB2312" w:hAnsi="黑体"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8" w:type="dxa"/>
            <w:tcBorders>
              <w:left w:val="single" w:color="000000" w:sz="8" w:space="0"/>
              <w:bottom w:val="thinThickThinSmallGap" w:color="auto" w:sz="12" w:space="0"/>
            </w:tcBorders>
          </w:tcPr>
          <w:p>
            <w:pPr>
              <w:pStyle w:val="2"/>
              <w:spacing w:line="500" w:lineRule="exact"/>
              <w:ind w:firstLine="0" w:firstLineChars="0"/>
              <w:jc w:val="center"/>
              <w:outlineLvl w:val="0"/>
              <w:rPr>
                <w:rFonts w:ascii="仿宋_GB2312" w:hAnsi="黑体" w:eastAsia="仿宋_GB2312"/>
                <w:bCs/>
                <w:sz w:val="24"/>
              </w:rPr>
            </w:pPr>
            <w:r>
              <w:rPr>
                <w:rFonts w:hint="eastAsia" w:ascii="仿宋_GB2312" w:hAnsi="黑体" w:eastAsia="仿宋_GB2312"/>
                <w:bCs/>
                <w:spacing w:val="10"/>
                <w:kern w:val="0"/>
                <w:sz w:val="24"/>
                <w:fitText w:val="1050" w:id="5"/>
              </w:rPr>
              <w:t>开户银</w:t>
            </w:r>
            <w:r>
              <w:rPr>
                <w:rFonts w:hint="eastAsia" w:ascii="仿宋_GB2312" w:hAnsi="黑体" w:eastAsia="仿宋_GB2312"/>
                <w:bCs/>
                <w:spacing w:val="15"/>
                <w:kern w:val="0"/>
                <w:sz w:val="24"/>
                <w:fitText w:val="1050" w:id="5"/>
              </w:rPr>
              <w:t>行</w:t>
            </w:r>
          </w:p>
        </w:tc>
        <w:tc>
          <w:tcPr>
            <w:tcW w:w="2410" w:type="dxa"/>
            <w:tcBorders>
              <w:bottom w:val="thinThickThinSmallGap" w:color="auto" w:sz="12" w:space="0"/>
            </w:tcBorders>
          </w:tcPr>
          <w:p>
            <w:pPr>
              <w:pStyle w:val="2"/>
              <w:spacing w:line="500" w:lineRule="exact"/>
              <w:ind w:firstLine="0" w:firstLineChars="0"/>
              <w:jc w:val="center"/>
              <w:outlineLvl w:val="0"/>
              <w:rPr>
                <w:rFonts w:ascii="仿宋_GB2312" w:hAnsi="黑体" w:eastAsia="仿宋_GB2312"/>
                <w:bCs/>
                <w:sz w:val="24"/>
              </w:rPr>
            </w:pPr>
          </w:p>
        </w:tc>
        <w:tc>
          <w:tcPr>
            <w:tcW w:w="1386" w:type="dxa"/>
            <w:tcBorders>
              <w:bottom w:val="thinThickThinSmallGap" w:color="auto" w:sz="12" w:space="0"/>
            </w:tcBorders>
          </w:tcPr>
          <w:p>
            <w:pPr>
              <w:pStyle w:val="2"/>
              <w:spacing w:line="500" w:lineRule="exact"/>
              <w:ind w:firstLine="0" w:firstLineChars="0"/>
              <w:jc w:val="center"/>
              <w:outlineLvl w:val="0"/>
              <w:rPr>
                <w:rFonts w:ascii="仿宋_GB2312" w:hAnsi="黑体" w:eastAsia="仿宋_GB2312"/>
                <w:bCs/>
                <w:sz w:val="24"/>
              </w:rPr>
            </w:pPr>
            <w:r>
              <w:rPr>
                <w:rFonts w:hint="eastAsia" w:ascii="仿宋_GB2312" w:hAnsi="黑体" w:eastAsia="仿宋_GB2312"/>
                <w:bCs/>
                <w:spacing w:val="10"/>
                <w:kern w:val="0"/>
                <w:sz w:val="24"/>
                <w:fitText w:val="1050" w:id="6"/>
              </w:rPr>
              <w:t>银行账</w:t>
            </w:r>
            <w:r>
              <w:rPr>
                <w:rFonts w:hint="eastAsia" w:ascii="仿宋_GB2312" w:hAnsi="黑体" w:eastAsia="仿宋_GB2312"/>
                <w:bCs/>
                <w:spacing w:val="15"/>
                <w:kern w:val="0"/>
                <w:sz w:val="24"/>
                <w:fitText w:val="1050" w:id="6"/>
              </w:rPr>
              <w:t>号</w:t>
            </w:r>
          </w:p>
        </w:tc>
        <w:tc>
          <w:tcPr>
            <w:tcW w:w="2208" w:type="dxa"/>
            <w:tcBorders>
              <w:bottom w:val="thinThickThinSmallGap" w:color="auto" w:sz="12" w:space="0"/>
              <w:right w:val="single" w:color="000000" w:sz="8" w:space="0"/>
            </w:tcBorders>
          </w:tcPr>
          <w:p>
            <w:pPr>
              <w:pStyle w:val="2"/>
              <w:spacing w:line="500" w:lineRule="exact"/>
              <w:ind w:firstLine="0" w:firstLineChars="0"/>
              <w:outlineLvl w:val="0"/>
              <w:rPr>
                <w:rFonts w:ascii="仿宋_GB2312" w:hAnsi="黑体"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8" w:type="dxa"/>
            <w:tcBorders>
              <w:top w:val="thinThickThinSmallGap" w:color="auto" w:sz="12" w:space="0"/>
              <w:left w:val="single" w:color="000000" w:sz="8" w:space="0"/>
              <w:bottom w:val="single" w:color="000000" w:sz="4" w:space="0"/>
            </w:tcBorders>
          </w:tcPr>
          <w:p>
            <w:pPr>
              <w:pStyle w:val="2"/>
              <w:spacing w:line="500" w:lineRule="exact"/>
              <w:ind w:firstLine="0" w:firstLineChars="0"/>
              <w:jc w:val="center"/>
              <w:outlineLvl w:val="0"/>
              <w:rPr>
                <w:rFonts w:ascii="仿宋_GB2312" w:hAnsi="黑体" w:eastAsia="仿宋_GB2312"/>
                <w:bCs/>
                <w:sz w:val="24"/>
              </w:rPr>
            </w:pPr>
            <w:r>
              <w:rPr>
                <w:rFonts w:hint="eastAsia" w:ascii="仿宋_GB2312" w:hAnsi="黑体" w:eastAsia="仿宋_GB2312"/>
                <w:bCs/>
                <w:sz w:val="24"/>
              </w:rPr>
              <w:t>代理人姓名</w:t>
            </w:r>
          </w:p>
        </w:tc>
        <w:tc>
          <w:tcPr>
            <w:tcW w:w="2410" w:type="dxa"/>
            <w:tcBorders>
              <w:top w:val="thinThickThinSmallGap" w:color="auto" w:sz="12" w:space="0"/>
              <w:bottom w:val="single" w:color="000000" w:sz="4" w:space="0"/>
            </w:tcBorders>
          </w:tcPr>
          <w:p>
            <w:pPr>
              <w:pStyle w:val="2"/>
              <w:spacing w:line="500" w:lineRule="exact"/>
              <w:ind w:firstLine="0" w:firstLineChars="0"/>
              <w:jc w:val="center"/>
              <w:outlineLvl w:val="0"/>
              <w:rPr>
                <w:rFonts w:ascii="仿宋_GB2312" w:hAnsi="黑体" w:eastAsia="仿宋_GB2312"/>
                <w:bCs/>
                <w:sz w:val="24"/>
              </w:rPr>
            </w:pPr>
          </w:p>
        </w:tc>
        <w:tc>
          <w:tcPr>
            <w:tcW w:w="1386" w:type="dxa"/>
            <w:tcBorders>
              <w:top w:val="thinThickThinSmallGap" w:color="auto" w:sz="12" w:space="0"/>
              <w:bottom w:val="single" w:color="000000" w:sz="4" w:space="0"/>
            </w:tcBorders>
          </w:tcPr>
          <w:p>
            <w:pPr>
              <w:pStyle w:val="2"/>
              <w:spacing w:line="500" w:lineRule="exact"/>
              <w:ind w:firstLine="0" w:firstLineChars="0"/>
              <w:jc w:val="center"/>
              <w:outlineLvl w:val="0"/>
              <w:rPr>
                <w:rFonts w:ascii="仿宋_GB2312" w:hAnsi="黑体" w:eastAsia="仿宋_GB2312"/>
                <w:bCs/>
                <w:sz w:val="24"/>
              </w:rPr>
            </w:pPr>
            <w:r>
              <w:rPr>
                <w:rFonts w:hint="eastAsia" w:ascii="仿宋_GB2312" w:hAnsi="黑体" w:eastAsia="仿宋_GB2312"/>
                <w:bCs/>
                <w:spacing w:val="10"/>
                <w:kern w:val="0"/>
                <w:sz w:val="24"/>
                <w:fitText w:val="1050" w:id="7"/>
              </w:rPr>
              <w:t>联系方</w:t>
            </w:r>
            <w:r>
              <w:rPr>
                <w:rFonts w:hint="eastAsia" w:ascii="仿宋_GB2312" w:hAnsi="黑体" w:eastAsia="仿宋_GB2312"/>
                <w:bCs/>
                <w:spacing w:val="15"/>
                <w:kern w:val="0"/>
                <w:sz w:val="24"/>
                <w:fitText w:val="1050" w:id="7"/>
              </w:rPr>
              <w:t>式</w:t>
            </w:r>
          </w:p>
        </w:tc>
        <w:tc>
          <w:tcPr>
            <w:tcW w:w="2208" w:type="dxa"/>
            <w:tcBorders>
              <w:top w:val="thinThickThinSmallGap" w:color="auto" w:sz="12" w:space="0"/>
              <w:bottom w:val="single" w:color="000000" w:sz="4" w:space="0"/>
              <w:right w:val="single" w:color="000000" w:sz="8" w:space="0"/>
            </w:tcBorders>
          </w:tcPr>
          <w:p>
            <w:pPr>
              <w:pStyle w:val="2"/>
              <w:spacing w:line="500" w:lineRule="exact"/>
              <w:ind w:firstLine="0" w:firstLineChars="0"/>
              <w:outlineLvl w:val="0"/>
              <w:rPr>
                <w:rFonts w:ascii="仿宋_GB2312" w:hAnsi="黑体" w:eastAsia="仿宋_GB2312"/>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8" w:type="dxa"/>
            <w:tcBorders>
              <w:left w:val="single" w:color="000000" w:sz="8" w:space="0"/>
              <w:bottom w:val="single" w:color="000000" w:sz="8" w:space="0"/>
            </w:tcBorders>
          </w:tcPr>
          <w:p>
            <w:pPr>
              <w:pStyle w:val="2"/>
              <w:spacing w:line="500" w:lineRule="exact"/>
              <w:ind w:firstLine="0" w:firstLineChars="0"/>
              <w:jc w:val="center"/>
              <w:outlineLvl w:val="0"/>
              <w:rPr>
                <w:rFonts w:ascii="仿宋_GB2312" w:hAnsi="黑体" w:eastAsia="仿宋_GB2312"/>
                <w:bCs/>
                <w:sz w:val="24"/>
              </w:rPr>
            </w:pPr>
            <w:r>
              <w:rPr>
                <w:rFonts w:hint="eastAsia" w:ascii="仿宋_GB2312" w:hAnsi="黑体" w:eastAsia="仿宋_GB2312"/>
                <w:bCs/>
                <w:kern w:val="0"/>
                <w:sz w:val="24"/>
              </w:rPr>
              <w:t>身份证号</w:t>
            </w:r>
          </w:p>
        </w:tc>
        <w:tc>
          <w:tcPr>
            <w:tcW w:w="2410" w:type="dxa"/>
            <w:tcBorders>
              <w:bottom w:val="single" w:color="000000" w:sz="8" w:space="0"/>
            </w:tcBorders>
          </w:tcPr>
          <w:p>
            <w:pPr>
              <w:pStyle w:val="2"/>
              <w:spacing w:line="500" w:lineRule="exact"/>
              <w:ind w:firstLine="0" w:firstLineChars="0"/>
              <w:jc w:val="center"/>
              <w:outlineLvl w:val="0"/>
              <w:rPr>
                <w:rFonts w:ascii="仿宋_GB2312" w:hAnsi="黑体" w:eastAsia="仿宋_GB2312"/>
                <w:bCs/>
                <w:sz w:val="24"/>
              </w:rPr>
            </w:pPr>
          </w:p>
        </w:tc>
        <w:tc>
          <w:tcPr>
            <w:tcW w:w="1386" w:type="dxa"/>
            <w:tcBorders>
              <w:bottom w:val="single" w:color="000000" w:sz="8" w:space="0"/>
            </w:tcBorders>
          </w:tcPr>
          <w:p>
            <w:pPr>
              <w:pStyle w:val="2"/>
              <w:spacing w:line="500" w:lineRule="exact"/>
              <w:ind w:firstLine="0" w:firstLineChars="0"/>
              <w:jc w:val="center"/>
              <w:outlineLvl w:val="0"/>
              <w:rPr>
                <w:rFonts w:ascii="仿宋_GB2312" w:hAnsi="黑体" w:eastAsia="仿宋_GB2312"/>
                <w:bCs/>
                <w:sz w:val="24"/>
              </w:rPr>
            </w:pPr>
            <w:r>
              <w:rPr>
                <w:rFonts w:hint="eastAsia" w:ascii="仿宋_GB2312" w:hAnsi="黑体" w:eastAsia="仿宋_GB2312"/>
                <w:bCs/>
                <w:sz w:val="24"/>
              </w:rPr>
              <w:t>地    址</w:t>
            </w:r>
          </w:p>
        </w:tc>
        <w:tc>
          <w:tcPr>
            <w:tcW w:w="2208" w:type="dxa"/>
            <w:tcBorders>
              <w:bottom w:val="single" w:color="000000" w:sz="8" w:space="0"/>
              <w:right w:val="single" w:color="000000" w:sz="8" w:space="0"/>
            </w:tcBorders>
          </w:tcPr>
          <w:p>
            <w:pPr>
              <w:pStyle w:val="2"/>
              <w:spacing w:line="500" w:lineRule="exact"/>
              <w:ind w:firstLine="0" w:firstLineChars="0"/>
              <w:outlineLvl w:val="0"/>
              <w:rPr>
                <w:rFonts w:ascii="仿宋_GB2312" w:hAnsi="黑体" w:eastAsia="仿宋_GB2312"/>
                <w:bCs/>
                <w:sz w:val="24"/>
              </w:rPr>
            </w:pPr>
          </w:p>
        </w:tc>
      </w:tr>
    </w:tbl>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为发展农村经济，促进集体资产增值保值，根据《中华人民共和国合同法》等相关法律、法规、规章的规定，甲乙双方本着平等、自愿、公平、诚信的原则，经双方协商一致，就农村集体经营性资产承包事宜，订立本合同。</w:t>
      </w:r>
    </w:p>
    <w:p>
      <w:pPr>
        <w:spacing w:line="500" w:lineRule="exact"/>
        <w:ind w:firstLine="480" w:firstLineChars="200"/>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 xml:space="preserve">第一条 </w:t>
      </w:r>
      <w:r>
        <w:rPr>
          <w:rFonts w:ascii="宋体" w:hAnsi="宋体" w:eastAsia="宋体" w:cs="宋体"/>
          <w:b/>
          <w:bCs/>
          <w:color w:val="000000" w:themeColor="text1"/>
          <w:sz w:val="24"/>
          <w:szCs w:val="24"/>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集体经营性资产流转标的、流转方式与用途</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1、本合同流转标的为甲方所持有或管理坐落</w:t>
      </w:r>
      <w:r>
        <w:rPr>
          <w:rFonts w:hint="eastAsia" w:ascii="宋体" w:hAnsi="宋体" w:eastAsia="宋体" w:cs="宋体"/>
          <w:color w:val="000000" w:themeColor="text1"/>
          <w:sz w:val="24"/>
          <w:szCs w:val="24"/>
          <w:lang w:eastAsia="zh-CN"/>
          <w14:textFill>
            <w14:solidFill>
              <w14:schemeClr w14:val="tx1"/>
            </w14:solidFill>
          </w14:textFill>
        </w:rPr>
        <w:t>于</w:t>
      </w:r>
      <w:r>
        <w:rPr>
          <w:rFonts w:hint="eastAsia" w:ascii="宋体" w:hAnsi="宋体" w:eastAsia="宋体" w:cs="宋体"/>
          <w:color w:val="000000" w:themeColor="text1"/>
          <w:sz w:val="24"/>
          <w:szCs w:val="24"/>
          <w14:textFill>
            <w14:solidFill>
              <w14:schemeClr w14:val="tx1"/>
            </w14:solidFill>
          </w14:textFill>
        </w:rPr>
        <w:t>＿＿＿＿市       县（区）＿＿＿＿乡（镇）＿＿＿＿村＿＿＿＿ 组的</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（标的名称）。</w:t>
      </w:r>
    </w:p>
    <w:p>
      <w:pPr>
        <w:spacing w:line="500" w:lineRule="exact"/>
        <w:ind w:firstLine="480" w:firstLineChars="200"/>
        <w:rPr>
          <w:rFonts w:ascii="宋体" w:hAnsi="宋体" w:eastAsia="宋体" w:cs="宋体"/>
          <w:color w:val="000000" w:themeColor="text1"/>
          <w:sz w:val="24"/>
          <w:szCs w:val="24"/>
          <w:u w:val="single"/>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2、甲方权属证明文件如下：</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p>
    <w:p>
      <w:pPr>
        <w:spacing w:line="500" w:lineRule="exact"/>
        <w:rPr>
          <w:rFonts w:ascii="宋体" w:hAnsi="宋体" w:eastAsia="宋体" w:cs="宋体"/>
          <w:color w:val="000000" w:themeColor="text1"/>
          <w:sz w:val="24"/>
          <w:szCs w:val="24"/>
          <w:u w:val="single"/>
          <w14:textFill>
            <w14:solidFill>
              <w14:schemeClr w14:val="tx1"/>
            </w14:solidFill>
          </w14:textFill>
        </w:rPr>
      </w:pPr>
      <w:r>
        <w:rPr>
          <w:rFonts w:hint="eastAsia" w:ascii="宋体" w:hAnsi="宋体" w:eastAsia="宋体" w:cs="宋体"/>
          <w:color w:val="000000" w:themeColor="text1"/>
          <w:sz w:val="24"/>
          <w:szCs w:val="24"/>
          <w:u w:val="single"/>
          <w14:textFill>
            <w14:solidFill>
              <w14:schemeClr w14:val="tx1"/>
            </w14:solidFill>
          </w14:textFill>
        </w:rPr>
        <w:t xml:space="preserve">                                                              </w:t>
      </w:r>
      <w:r>
        <w:rPr>
          <w:rFonts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p>
    <w:p>
      <w:pPr>
        <w:spacing w:line="500" w:lineRule="exact"/>
        <w:rPr>
          <w:rFonts w:ascii="宋体" w:hAnsi="宋体" w:eastAsia="宋体" w:cs="宋体"/>
          <w:color w:val="000000" w:themeColor="text1"/>
          <w:sz w:val="24"/>
          <w:szCs w:val="24"/>
          <w:u w:val="single"/>
          <w14:textFill>
            <w14:solidFill>
              <w14:schemeClr w14:val="tx1"/>
            </w14:solidFill>
          </w14:textFill>
        </w:rPr>
      </w:pPr>
      <w:r>
        <w:rPr>
          <w:rFonts w:ascii="宋体" w:hAnsi="宋体" w:eastAsia="宋体" w:cs="宋体"/>
          <w:color w:val="000000" w:themeColor="text1"/>
          <w:sz w:val="24"/>
          <w:szCs w:val="24"/>
          <w:u w:val="single"/>
          <w14:textFill>
            <w14:solidFill>
              <w14:schemeClr w14:val="tx1"/>
            </w14:solidFill>
          </w14:textFill>
        </w:rPr>
        <w:t xml:space="preserve">                                                                   </w:t>
      </w:r>
    </w:p>
    <w:p>
      <w:pPr>
        <w:spacing w:line="500" w:lineRule="exact"/>
        <w:ind w:firstLine="470" w:firstLineChars="196"/>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3、标的资产经有资质的</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资产评估（或房地产评估）有限公司评估，出具了以</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日为评估基准日的</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号《资产（或房地产）评估报告》。</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4、标的资产不存在上述《资产（或房地产）评估报告》中未予披露或遗漏的、可能影响评估结果，或对标的资产流转产生重大不利影响的任何事项。</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5、甲乙双方在甲方对上述标的资产享有所有权及《资产（或房地产）评估报告》评估结果均认可同意的基础上达成本合同各项条款。</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6、甲方现通过□承包  □租赁  □互换  □出让  □入股  □合资  □合作  □其他____________方式流转给乙方，乙方对其受让的标的应当依法开发利用，主要用于</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7、甲方将□资产/项目经营权  □资产所有权  □资产使用权流转给乙方。</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8、流转资产上的附属建筑和资产情况及处置方式（可另附件）：</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w:t>
      </w:r>
    </w:p>
    <w:p>
      <w:pPr>
        <w:spacing w:line="500" w:lineRule="exact"/>
        <w:ind w:firstLine="480" w:firstLineChars="20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w:t>
      </w:r>
      <w:r>
        <w:rPr>
          <w:rFonts w:hint="eastAsia" w:ascii="宋体" w:hAnsi="宋体" w:eastAsia="宋体" w:cs="宋体"/>
          <w:color w:val="000000" w:themeColor="text1"/>
          <w:sz w:val="24"/>
          <w:szCs w:val="24"/>
          <w:lang w:eastAsia="zh-CN"/>
          <w14:textFill>
            <w14:solidFill>
              <w14:schemeClr w14:val="tx1"/>
            </w14:solidFill>
          </w14:textFill>
        </w:rPr>
        <w:t>流转标的的担保情况为（</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eastAsia="zh-CN"/>
          <w14:textFill>
            <w14:solidFill>
              <w14:schemeClr w14:val="tx1"/>
            </w14:solidFill>
          </w14:textFill>
        </w:rPr>
        <w:t>）种</w:t>
      </w:r>
      <w:r>
        <w:rPr>
          <w:rFonts w:hint="eastAsia" w:ascii="宋体" w:hAnsi="宋体" w:eastAsia="宋体" w:cs="宋体"/>
          <w:color w:val="000000" w:themeColor="text1"/>
          <w:sz w:val="24"/>
          <w:szCs w:val="24"/>
          <w:lang w:val="en-US" w:eastAsia="zh-CN"/>
          <w14:textFill>
            <w14:solidFill>
              <w14:schemeClr w14:val="tx1"/>
            </w14:solidFill>
          </w14:textFill>
        </w:rPr>
        <w:t>：</w:t>
      </w:r>
    </w:p>
    <w:p>
      <w:pPr>
        <w:spacing w:line="500" w:lineRule="exact"/>
        <w:ind w:firstLine="480" w:firstLineChars="200"/>
        <w:rPr>
          <w:rFonts w:ascii="宋体" w:hAnsi="宋体" w:eastAsia="宋体" w:cs="宋体"/>
          <w:bCs/>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①</w:t>
      </w:r>
      <w:r>
        <w:rPr>
          <w:rFonts w:hint="eastAsia" w:ascii="宋体" w:hAnsi="宋体" w:eastAsia="宋体" w:cs="宋体"/>
          <w:color w:val="000000" w:themeColor="text1"/>
          <w:sz w:val="24"/>
          <w:szCs w:val="24"/>
          <w14:textFill>
            <w14:solidFill>
              <w14:schemeClr w14:val="tx1"/>
            </w14:solidFill>
          </w14:textFill>
        </w:rPr>
        <w:t>流转标的上未设定任何形式的担保，包括但不限于该标的资产存在抵押、或任何影响标的资产出让的限制或义务。流转标的也未被任何有权机构采取查封等强制性措施。</w:t>
      </w:r>
    </w:p>
    <w:p>
      <w:pPr>
        <w:spacing w:line="500" w:lineRule="exact"/>
        <w:ind w:firstLine="480" w:firstLineChars="200"/>
        <w:rPr>
          <w:rFonts w:ascii="宋体" w:hAnsi="宋体" w:eastAsia="宋体" w:cs="宋体"/>
          <w:bCs/>
          <w:color w:val="000000" w:themeColor="text1"/>
          <w:sz w:val="24"/>
          <w:szCs w:val="24"/>
          <w14:textFill>
            <w14:solidFill>
              <w14:schemeClr w14:val="tx1"/>
            </w14:solidFill>
          </w14:textFill>
        </w:rPr>
      </w:pPr>
      <w:r>
        <w:rPr>
          <w:rFonts w:hint="eastAsia" w:ascii="宋体" w:hAnsi="宋体" w:eastAsia="宋体" w:cs="宋体"/>
          <w:bCs/>
          <w:color w:val="000000" w:themeColor="text1"/>
          <w:sz w:val="24"/>
          <w:szCs w:val="24"/>
          <w:lang w:eastAsia="zh-CN"/>
          <w14:textFill>
            <w14:solidFill>
              <w14:schemeClr w14:val="tx1"/>
            </w14:solidFill>
          </w14:textFill>
        </w:rPr>
        <w:t>②</w:t>
      </w:r>
      <w:r>
        <w:rPr>
          <w:rFonts w:hint="eastAsia" w:ascii="宋体" w:hAnsi="宋体" w:eastAsia="宋体" w:cs="宋体"/>
          <w:bCs/>
          <w:color w:val="000000" w:themeColor="text1"/>
          <w:sz w:val="24"/>
          <w:szCs w:val="24"/>
          <w14:textFill>
            <w14:solidFill>
              <w14:schemeClr w14:val="tx1"/>
            </w14:solidFill>
          </w14:textFill>
        </w:rPr>
        <w:t>流转标的已于</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r>
        <w:rPr>
          <w:rFonts w:hint="eastAsia" w:ascii="宋体" w:hAnsi="宋体" w:eastAsia="宋体" w:cs="宋体"/>
          <w:bCs/>
          <w:color w:val="000000" w:themeColor="text1"/>
          <w:sz w:val="24"/>
          <w:szCs w:val="24"/>
          <w14:textFill>
            <w14:solidFill>
              <w14:schemeClr w14:val="tx1"/>
            </w14:solidFill>
          </w14:textFill>
        </w:rPr>
        <w:t>，因</w:t>
      </w:r>
      <w:r>
        <w:rPr>
          <w:rFonts w:hint="eastAsia" w:ascii="宋体" w:hAnsi="宋体" w:eastAsia="宋体" w:cs="宋体"/>
          <w:bCs/>
          <w:color w:val="000000" w:themeColor="text1"/>
          <w:sz w:val="24"/>
          <w:szCs w:val="24"/>
          <w:u w:val="single"/>
          <w14:textFill>
            <w14:solidFill>
              <w14:schemeClr w14:val="tx1"/>
            </w14:solidFill>
          </w14:textFill>
        </w:rPr>
        <w:t xml:space="preserve">           </w:t>
      </w:r>
      <w:r>
        <w:rPr>
          <w:rFonts w:hint="eastAsia" w:ascii="宋体" w:hAnsi="宋体" w:eastAsia="宋体" w:cs="宋体"/>
          <w:bCs/>
          <w:color w:val="000000" w:themeColor="text1"/>
          <w:sz w:val="24"/>
          <w:szCs w:val="24"/>
          <w14:textFill>
            <w14:solidFill>
              <w14:schemeClr w14:val="tx1"/>
            </w14:solidFill>
          </w14:textFill>
        </w:rPr>
        <w:t>抵押给_</w:t>
      </w:r>
      <w:r>
        <w:rPr>
          <w:rFonts w:ascii="宋体" w:hAnsi="宋体" w:eastAsia="宋体" w:cs="宋体"/>
          <w:bCs/>
          <w:color w:val="000000" w:themeColor="text1"/>
          <w:sz w:val="24"/>
          <w:szCs w:val="24"/>
          <w14:textFill>
            <w14:solidFill>
              <w14:schemeClr w14:val="tx1"/>
            </w14:solidFill>
          </w14:textFill>
        </w:rPr>
        <w:t>_________</w:t>
      </w:r>
      <w:r>
        <w:rPr>
          <w:rFonts w:hint="eastAsia" w:ascii="宋体" w:hAnsi="宋体" w:eastAsia="宋体" w:cs="宋体"/>
          <w:bCs/>
          <w:color w:val="000000" w:themeColor="text1"/>
          <w:sz w:val="24"/>
          <w:szCs w:val="24"/>
          <w14:textFill>
            <w14:solidFill>
              <w14:schemeClr w14:val="tx1"/>
            </w14:solidFill>
          </w14:textFill>
        </w:rPr>
        <w:t>并在相关部门办理抵押登记。上述流转行为已经获得抵押权人的书面同意。</w:t>
      </w:r>
    </w:p>
    <w:p>
      <w:pPr>
        <w:spacing w:line="500" w:lineRule="exact"/>
        <w:ind w:firstLine="480" w:firstLineChars="200"/>
        <w:jc w:val="left"/>
        <w:rPr>
          <w:rFonts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 xml:space="preserve">第二条 </w:t>
      </w:r>
      <w:r>
        <w:rPr>
          <w:rFonts w:ascii="宋体" w:hAnsi="宋体" w:eastAsia="宋体" w:cs="宋体"/>
          <w:b/>
          <w:color w:val="000000" w:themeColor="text1"/>
          <w:sz w:val="24"/>
          <w:szCs w:val="24"/>
          <w14:textFill>
            <w14:solidFill>
              <w14:schemeClr w14:val="tx1"/>
            </w14:solidFill>
          </w14:textFill>
        </w:rPr>
        <w:t xml:space="preserve"> </w:t>
      </w:r>
      <w:r>
        <w:rPr>
          <w:rFonts w:hint="eastAsia" w:ascii="宋体" w:hAnsi="宋体" w:eastAsia="宋体" w:cs="宋体"/>
          <w:b/>
          <w:color w:val="000000" w:themeColor="text1"/>
          <w:sz w:val="24"/>
          <w:szCs w:val="24"/>
          <w14:textFill>
            <w14:solidFill>
              <w14:schemeClr w14:val="tx1"/>
            </w14:solidFill>
          </w14:textFill>
        </w:rPr>
        <w:t>流转期限和交付时间</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流转期限从</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月 </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日起至</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月 </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日止，共计_</w:t>
      </w:r>
      <w:r>
        <w:rPr>
          <w:rFonts w:ascii="宋体" w:hAnsi="宋体" w:eastAsia="宋体" w:cs="宋体"/>
          <w:color w:val="000000" w:themeColor="text1"/>
          <w:sz w:val="24"/>
          <w:szCs w:val="24"/>
          <w14:textFill>
            <w14:solidFill>
              <w14:schemeClr w14:val="tx1"/>
            </w14:solidFill>
          </w14:textFill>
        </w:rPr>
        <w:t>___</w:t>
      </w:r>
      <w:r>
        <w:rPr>
          <w:rFonts w:ascii="宋体" w:hAnsi="宋体" w:eastAsia="宋体" w:cs="宋体"/>
          <w:color w:val="000000" w:themeColor="text1"/>
          <w:sz w:val="24"/>
          <w:szCs w:val="24"/>
          <w:u w:val="single"/>
          <w14:textFill>
            <w14:solidFill>
              <w14:schemeClr w14:val="tx1"/>
            </w14:solidFill>
          </w14:textFill>
        </w:rPr>
        <w:t>__</w:t>
      </w:r>
      <w:r>
        <w:rPr>
          <w:rFonts w:hint="eastAsia" w:ascii="宋体" w:hAnsi="宋体" w:eastAsia="宋体" w:cs="宋体"/>
          <w:color w:val="000000" w:themeColor="text1"/>
          <w:sz w:val="24"/>
          <w:szCs w:val="24"/>
          <w14:textFill>
            <w14:solidFill>
              <w14:schemeClr w14:val="tx1"/>
            </w14:solidFill>
          </w14:textFill>
        </w:rPr>
        <w:t>年。甲方应于</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日之前将经营性资产交付乙方。</w:t>
      </w:r>
    </w:p>
    <w:p>
      <w:pPr>
        <w:spacing w:line="500" w:lineRule="exact"/>
        <w:ind w:firstLine="480" w:firstLineChars="200"/>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 xml:space="preserve">第三条 </w:t>
      </w:r>
      <w:r>
        <w:rPr>
          <w:rFonts w:ascii="宋体" w:hAnsi="宋体" w:eastAsia="宋体" w:cs="宋体"/>
          <w:b/>
          <w:bCs/>
          <w:color w:val="000000" w:themeColor="text1"/>
          <w:sz w:val="24"/>
          <w:szCs w:val="24"/>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流转的前提条件</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bCs/>
          <w:color w:val="000000" w:themeColor="text1"/>
          <w:sz w:val="24"/>
          <w:szCs w:val="24"/>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本合同标的依照法律法规规章和政策规定可以流转；甲方依法就本合同所涉及的标的资产已履行了内部决策、资产评估和/或政府部门备案等相关程序。</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2、甲方依据有关法律、法规、政策的规定，就本合同项下标的资产交易已在渝水区农村产权交易中心完成公开信息披露。</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3、乙方作为受让主体，符合法律、法规、规章和政策关于受让农村集体资产主体的规定。</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4、乙方已详细了解标的资产的流转信息，并同意按照甲方提出的受让条件受让标的资产。</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5、流转期间，国家、集体、上级主管部门给予甲方的无偿划拨、生产性补贴、馈赠等，归</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所有。</w:t>
      </w:r>
    </w:p>
    <w:p>
      <w:pPr>
        <w:pStyle w:val="6"/>
        <w:numPr>
          <w:ilvl w:val="255"/>
          <w:numId w:val="0"/>
        </w:numPr>
        <w:spacing w:line="500" w:lineRule="exact"/>
        <w:ind w:firstLine="480" w:firstLineChars="200"/>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 xml:space="preserve">第四条 </w:t>
      </w:r>
      <w:r>
        <w:rPr>
          <w:rFonts w:ascii="宋体" w:hAnsi="宋体" w:eastAsia="宋体" w:cs="宋体"/>
          <w:b/>
          <w:bCs/>
          <w:color w:val="000000" w:themeColor="text1"/>
          <w:sz w:val="24"/>
          <w:szCs w:val="24"/>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流转场所</w:t>
      </w:r>
    </w:p>
    <w:p>
      <w:pPr>
        <w:spacing w:line="500" w:lineRule="exact"/>
        <w:ind w:firstLine="480" w:firstLineChars="200"/>
        <w:rPr>
          <w:rFonts w:hint="default" w:ascii="宋体" w:hAnsi="宋体" w:eastAsia="宋体" w:cs="宋体"/>
          <w:bCs/>
          <w:color w:val="000000" w:themeColor="text1"/>
          <w:sz w:val="24"/>
          <w:szCs w:val="24"/>
          <w:lang w:val="en-US" w:eastAsia="zh-CN"/>
          <w14:textFill>
            <w14:solidFill>
              <w14:schemeClr w14:val="tx1"/>
            </w14:solidFill>
          </w14:textFill>
        </w:rPr>
      </w:pPr>
      <w:r>
        <w:rPr>
          <w:rFonts w:hint="eastAsia" w:ascii="宋体" w:hAnsi="宋体" w:eastAsia="宋体" w:cs="宋体"/>
          <w:bCs/>
          <w:color w:val="000000" w:themeColor="text1"/>
          <w:sz w:val="24"/>
          <w:szCs w:val="24"/>
          <w:lang w:eastAsia="zh-CN"/>
          <w14:textFill>
            <w14:solidFill>
              <w14:schemeClr w14:val="tx1"/>
            </w14:solidFill>
          </w14:textFill>
        </w:rPr>
        <w:t>流转场所为以下第（</w:t>
      </w:r>
      <w:r>
        <w:rPr>
          <w:rFonts w:hint="eastAsia" w:ascii="宋体" w:hAnsi="宋体" w:eastAsia="宋体" w:cs="宋体"/>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lang w:eastAsia="zh-CN"/>
          <w14:textFill>
            <w14:solidFill>
              <w14:schemeClr w14:val="tx1"/>
            </w14:solidFill>
          </w14:textFill>
        </w:rPr>
        <w:t>）</w:t>
      </w:r>
      <w:r>
        <w:rPr>
          <w:rFonts w:hint="eastAsia" w:ascii="宋体" w:hAnsi="宋体" w:eastAsia="宋体" w:cs="宋体"/>
          <w:bCs/>
          <w:color w:val="000000" w:themeColor="text1"/>
          <w:sz w:val="24"/>
          <w:szCs w:val="24"/>
          <w:lang w:val="en-US" w:eastAsia="zh-CN"/>
          <w14:textFill>
            <w14:solidFill>
              <w14:schemeClr w14:val="tx1"/>
            </w14:solidFill>
          </w14:textFill>
        </w:rPr>
        <w:t>种情况：</w:t>
      </w:r>
    </w:p>
    <w:p>
      <w:pPr>
        <w:spacing w:line="500" w:lineRule="exact"/>
        <w:ind w:firstLine="480" w:firstLineChars="200"/>
        <w:rPr>
          <w:rFonts w:ascii="宋体" w:hAnsi="宋体" w:eastAsia="宋体" w:cs="宋体"/>
          <w:bCs/>
          <w:color w:val="000000" w:themeColor="text1"/>
          <w:sz w:val="24"/>
          <w:szCs w:val="24"/>
          <w14:textFill>
            <w14:solidFill>
              <w14:schemeClr w14:val="tx1"/>
            </w14:solidFill>
          </w14:textFill>
        </w:rPr>
      </w:pPr>
      <w:r>
        <w:rPr>
          <w:rFonts w:hint="eastAsia" w:ascii="宋体" w:hAnsi="宋体" w:eastAsia="宋体" w:cs="宋体"/>
          <w:bCs/>
          <w:color w:val="000000" w:themeColor="text1"/>
          <w:sz w:val="24"/>
          <w:szCs w:val="24"/>
          <w:lang w:val="en-US" w:eastAsia="zh-CN"/>
          <w14:textFill>
            <w14:solidFill>
              <w14:schemeClr w14:val="tx1"/>
            </w14:solidFill>
          </w14:textFill>
        </w:rPr>
        <w:t>1、</w:t>
      </w:r>
      <w:r>
        <w:rPr>
          <w:rFonts w:hint="eastAsia" w:ascii="宋体" w:hAnsi="宋体" w:eastAsia="宋体" w:cs="宋体"/>
          <w:bCs/>
          <w:color w:val="000000" w:themeColor="text1"/>
          <w:sz w:val="24"/>
          <w:szCs w:val="24"/>
          <w14:textFill>
            <w14:solidFill>
              <w14:schemeClr w14:val="tx1"/>
            </w14:solidFill>
          </w14:textFill>
        </w:rPr>
        <w:t>本合同项下标的资产流转信息已于</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r>
        <w:rPr>
          <w:rFonts w:hint="eastAsia" w:ascii="宋体" w:hAnsi="宋体" w:eastAsia="宋体" w:cs="宋体"/>
          <w:bCs/>
          <w:color w:val="000000" w:themeColor="text1"/>
          <w:sz w:val="24"/>
          <w:szCs w:val="24"/>
          <w14:textFill>
            <w14:solidFill>
              <w14:schemeClr w14:val="tx1"/>
            </w14:solidFill>
          </w14:textFill>
        </w:rPr>
        <w:t>经渝水区农村产权交易中心信息发布，信息发布期间只产生乙方一个意向受让方，由乙方依法受让本合同项下流转标的。</w:t>
      </w:r>
    </w:p>
    <w:p>
      <w:pPr>
        <w:spacing w:line="500" w:lineRule="exact"/>
        <w:ind w:firstLine="480" w:firstLineChars="200"/>
        <w:rPr>
          <w:rFonts w:ascii="宋体" w:hAnsi="宋体" w:eastAsia="宋体" w:cs="宋体"/>
          <w:bCs/>
          <w:color w:val="000000" w:themeColor="text1"/>
          <w:sz w:val="24"/>
          <w:szCs w:val="24"/>
          <w14:textFill>
            <w14:solidFill>
              <w14:schemeClr w14:val="tx1"/>
            </w14:solidFill>
          </w14:textFill>
        </w:rPr>
      </w:pPr>
      <w:r>
        <w:rPr>
          <w:rFonts w:hint="eastAsia" w:ascii="宋体" w:hAnsi="宋体" w:eastAsia="宋体" w:cs="宋体"/>
          <w:bCs/>
          <w:color w:val="000000" w:themeColor="text1"/>
          <w:sz w:val="24"/>
          <w:szCs w:val="24"/>
          <w:lang w:val="en-US" w:eastAsia="zh-CN"/>
          <w14:textFill>
            <w14:solidFill>
              <w14:schemeClr w14:val="tx1"/>
            </w14:solidFill>
          </w14:textFill>
        </w:rPr>
        <w:t>2、</w:t>
      </w:r>
      <w:r>
        <w:rPr>
          <w:rFonts w:hint="eastAsia" w:ascii="宋体" w:hAnsi="宋体" w:eastAsia="宋体" w:cs="宋体"/>
          <w:bCs/>
          <w:color w:val="000000" w:themeColor="text1"/>
          <w:sz w:val="24"/>
          <w:szCs w:val="24"/>
          <w14:textFill>
            <w14:solidFill>
              <w14:schemeClr w14:val="tx1"/>
            </w14:solidFill>
          </w14:textFill>
        </w:rPr>
        <w:t>本合同项下标的资产交易信息已于</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r>
        <w:rPr>
          <w:rFonts w:hint="eastAsia" w:ascii="宋体" w:hAnsi="宋体" w:eastAsia="宋体" w:cs="宋体"/>
          <w:bCs/>
          <w:color w:val="000000" w:themeColor="text1"/>
          <w:sz w:val="24"/>
          <w:szCs w:val="24"/>
          <w14:textFill>
            <w14:solidFill>
              <w14:schemeClr w14:val="tx1"/>
            </w14:solidFill>
          </w14:textFill>
        </w:rPr>
        <w:t>经渝水区农村产权交易中心信息发布，信息发布期间产生</w:t>
      </w:r>
      <w:r>
        <w:rPr>
          <w:rFonts w:hint="eastAsia" w:ascii="宋体" w:hAnsi="宋体" w:eastAsia="宋体" w:cs="宋体"/>
          <w:bCs/>
          <w:color w:val="000000" w:themeColor="text1"/>
          <w:sz w:val="24"/>
          <w:szCs w:val="24"/>
          <w:u w:val="single"/>
          <w14:textFill>
            <w14:solidFill>
              <w14:schemeClr w14:val="tx1"/>
            </w14:solidFill>
          </w14:textFill>
        </w:rPr>
        <w:t xml:space="preserve">     </w:t>
      </w:r>
      <w:r>
        <w:rPr>
          <w:rFonts w:ascii="宋体" w:hAnsi="宋体" w:eastAsia="宋体" w:cs="宋体"/>
          <w:bCs/>
          <w:color w:val="000000" w:themeColor="text1"/>
          <w:sz w:val="24"/>
          <w:szCs w:val="24"/>
          <w:u w:val="single"/>
          <w14:textFill>
            <w14:solidFill>
              <w14:schemeClr w14:val="tx1"/>
            </w14:solidFill>
          </w14:textFill>
        </w:rPr>
        <w:t xml:space="preserve">   </w:t>
      </w:r>
      <w:r>
        <w:rPr>
          <w:rFonts w:hint="eastAsia" w:ascii="宋体" w:hAnsi="宋体" w:eastAsia="宋体" w:cs="宋体"/>
          <w:bCs/>
          <w:color w:val="000000" w:themeColor="text1"/>
          <w:sz w:val="24"/>
          <w:szCs w:val="24"/>
          <w:u w:val="single"/>
          <w14:textFill>
            <w14:solidFill>
              <w14:schemeClr w14:val="tx1"/>
            </w14:solidFill>
          </w14:textFill>
        </w:rPr>
        <w:t xml:space="preserve">        </w:t>
      </w:r>
      <w:r>
        <w:rPr>
          <w:rFonts w:hint="eastAsia" w:ascii="宋体" w:hAnsi="宋体" w:eastAsia="宋体" w:cs="宋体"/>
          <w:bCs/>
          <w:color w:val="000000" w:themeColor="text1"/>
          <w:sz w:val="24"/>
          <w:szCs w:val="24"/>
          <w14:textFill>
            <w14:solidFill>
              <w14:schemeClr w14:val="tx1"/>
            </w14:solidFill>
          </w14:textFill>
        </w:rPr>
        <w:t>个意向受让方，并于_</w:t>
      </w:r>
      <w:r>
        <w:rPr>
          <w:rFonts w:ascii="宋体" w:hAnsi="宋体" w:eastAsia="宋体" w:cs="宋体"/>
          <w:bCs/>
          <w:color w:val="000000" w:themeColor="text1"/>
          <w:sz w:val="24"/>
          <w:szCs w:val="24"/>
          <w14:textFill>
            <w14:solidFill>
              <w14:schemeClr w14:val="tx1"/>
            </w14:solidFill>
          </w14:textFill>
        </w:rPr>
        <w:t>_____</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r>
        <w:rPr>
          <w:rFonts w:hint="eastAsia" w:ascii="宋体" w:hAnsi="宋体" w:eastAsia="宋体" w:cs="宋体"/>
          <w:bCs/>
          <w:color w:val="000000" w:themeColor="text1"/>
          <w:sz w:val="24"/>
          <w:szCs w:val="24"/>
          <w14:textFill>
            <w14:solidFill>
              <w14:schemeClr w14:val="tx1"/>
            </w14:solidFill>
          </w14:textFill>
        </w:rPr>
        <w:t>以网络竞价/拍卖/招投标/其他方式组织实施，由乙方依法作为买受人受让本合同项下流转标的。</w:t>
      </w:r>
    </w:p>
    <w:p>
      <w:pPr>
        <w:pStyle w:val="6"/>
        <w:numPr>
          <w:ilvl w:val="255"/>
          <w:numId w:val="0"/>
        </w:numPr>
        <w:spacing w:line="500" w:lineRule="exact"/>
        <w:ind w:firstLine="480" w:firstLineChars="200"/>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 xml:space="preserve">第五条 </w:t>
      </w:r>
      <w:r>
        <w:rPr>
          <w:rFonts w:ascii="宋体" w:hAnsi="宋体" w:eastAsia="宋体" w:cs="宋体"/>
          <w:b/>
          <w:bCs/>
          <w:color w:val="000000" w:themeColor="text1"/>
          <w:sz w:val="24"/>
          <w:szCs w:val="24"/>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流转价格与支付方式</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流转价格按下列第</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种方式计算：</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1、根据</w:t>
      </w:r>
      <w:r>
        <w:rPr>
          <w:rFonts w:hint="eastAsia" w:ascii="宋体" w:hAnsi="宋体" w:eastAsia="宋体" w:cs="宋体"/>
          <w:bCs/>
          <w:color w:val="000000" w:themeColor="text1"/>
          <w:sz w:val="24"/>
          <w:szCs w:val="24"/>
          <w14:textFill>
            <w14:solidFill>
              <w14:schemeClr w14:val="tx1"/>
            </w14:solidFill>
          </w14:textFill>
        </w:rPr>
        <w:t>信息发布</w:t>
      </w:r>
      <w:r>
        <w:rPr>
          <w:rFonts w:hint="eastAsia" w:ascii="宋体" w:hAnsi="宋体" w:eastAsia="宋体" w:cs="宋体"/>
          <w:color w:val="000000" w:themeColor="text1"/>
          <w:sz w:val="24"/>
          <w:szCs w:val="24"/>
          <w14:textFill>
            <w14:solidFill>
              <w14:schemeClr w14:val="tx1"/>
            </w14:solidFill>
          </w14:textFill>
        </w:rPr>
        <w:t>结果（或公开竞价结果），甲方将本合同项下流转标的一次性以人民币（大写）</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元（即：人民币（小写）</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 元）（以下简称</w:t>
      </w:r>
      <w:r>
        <w:rPr>
          <w:rFonts w:hint="eastAsia" w:ascii="宋体" w:hAnsi="宋体" w:eastAsia="宋体" w:cs="宋体"/>
          <w:bCs/>
          <w:color w:val="000000" w:themeColor="text1"/>
          <w:sz w:val="24"/>
          <w:szCs w:val="24"/>
          <w14:textFill>
            <w14:solidFill>
              <w14:schemeClr w14:val="tx1"/>
            </w14:solidFill>
          </w14:textFill>
        </w:rPr>
        <w:t>合同价款）</w:t>
      </w:r>
      <w:r>
        <w:rPr>
          <w:rFonts w:hint="eastAsia" w:ascii="宋体" w:hAnsi="宋体" w:eastAsia="宋体" w:cs="宋体"/>
          <w:color w:val="000000" w:themeColor="text1"/>
          <w:sz w:val="24"/>
          <w:szCs w:val="24"/>
          <w14:textFill>
            <w14:solidFill>
              <w14:schemeClr w14:val="tx1"/>
            </w14:solidFill>
          </w14:textFill>
        </w:rPr>
        <w:t>流转给乙方。</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2、流转期前</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年每年人民币</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元，以此为基数，每</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年上浮</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%，至合同期满。承包费共计人民币（大写）</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元（¥</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元）。</w:t>
      </w:r>
    </w:p>
    <w:p>
      <w:pPr>
        <w:spacing w:line="500" w:lineRule="exact"/>
        <w:ind w:firstLine="480" w:firstLineChars="200"/>
        <w:rPr>
          <w:rFonts w:hint="eastAsia" w:ascii="宋体" w:hAnsi="宋体" w:eastAsia="宋体" w:cs="宋体"/>
          <w:color w:val="000000" w:themeColor="text1"/>
          <w:sz w:val="24"/>
          <w:szCs w:val="24"/>
          <w:u w:val="single"/>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3.其他计算方式：</w:t>
      </w:r>
      <w:r>
        <w:rPr>
          <w:rFonts w:hint="eastAsia" w:ascii="宋体" w:hAnsi="宋体" w:eastAsia="宋体" w:cs="宋体"/>
          <w:color w:val="000000" w:themeColor="text1"/>
          <w:sz w:val="24"/>
          <w:szCs w:val="24"/>
          <w:u w:val="single"/>
          <w14:textFill>
            <w14:solidFill>
              <w14:schemeClr w14:val="tx1"/>
            </w14:solidFill>
          </w14:textFill>
        </w:rPr>
        <w:t xml:space="preserve">                                         </w:t>
      </w:r>
    </w:p>
    <w:p>
      <w:pPr>
        <w:spacing w:line="500" w:lineRule="exact"/>
        <w:ind w:firstLine="480" w:firstLineChars="200"/>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u w:val="single"/>
          <w:lang w:eastAsia="zh-CN"/>
          <w14:textFill>
            <w14:solidFill>
              <w14:schemeClr w14:val="tx1"/>
            </w14:solidFill>
          </w14:textFill>
        </w:rPr>
        <w:t>保证金按下列第（</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u w:val="single"/>
          <w:lang w:eastAsia="zh-CN"/>
          <w14:textFill>
            <w14:solidFill>
              <w14:schemeClr w14:val="tx1"/>
            </w14:solidFill>
          </w14:textFill>
        </w:rPr>
        <w:t>）</w:t>
      </w:r>
      <w:r>
        <w:rPr>
          <w:rFonts w:hint="eastAsia" w:ascii="宋体" w:hAnsi="宋体" w:eastAsia="宋体" w:cs="宋体"/>
          <w:color w:val="000000" w:themeColor="text1"/>
          <w:sz w:val="24"/>
          <w:szCs w:val="24"/>
          <w:u w:val="single"/>
          <w:lang w:val="en-US" w:eastAsia="zh-CN"/>
          <w14:textFill>
            <w14:solidFill>
              <w14:schemeClr w14:val="tx1"/>
            </w14:solidFill>
          </w14:textFill>
        </w:rPr>
        <w:t>种方式支付：</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乙方按照甲方的要求交纳至</w:t>
      </w:r>
      <w:r>
        <w:rPr>
          <w:rFonts w:hint="eastAsia" w:ascii="宋体" w:hAnsi="宋体" w:eastAsia="宋体" w:cs="宋体"/>
          <w:bCs/>
          <w:color w:val="000000" w:themeColor="text1"/>
          <w:sz w:val="24"/>
          <w:szCs w:val="24"/>
          <w14:textFill>
            <w14:solidFill>
              <w14:schemeClr w14:val="tx1"/>
            </w14:solidFill>
          </w14:textFill>
        </w:rPr>
        <w:t>渝水区农村产权交易中心</w:t>
      </w:r>
      <w:r>
        <w:rPr>
          <w:rFonts w:hint="eastAsia" w:ascii="宋体" w:hAnsi="宋体" w:eastAsia="宋体" w:cs="宋体"/>
          <w:color w:val="000000" w:themeColor="text1"/>
          <w:sz w:val="24"/>
          <w:szCs w:val="24"/>
          <w14:textFill>
            <w14:solidFill>
              <w14:schemeClr w14:val="tx1"/>
            </w14:solidFill>
          </w14:textFill>
        </w:rPr>
        <w:t>的保证金</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元，折抵为合同价款的一部分。</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乙方按照甲方的要求交纳至</w:t>
      </w:r>
      <w:r>
        <w:rPr>
          <w:rFonts w:hint="eastAsia" w:ascii="宋体" w:hAnsi="宋体" w:eastAsia="宋体" w:cs="宋体"/>
          <w:bCs/>
          <w:color w:val="000000" w:themeColor="text1"/>
          <w:sz w:val="24"/>
          <w:szCs w:val="24"/>
          <w14:textFill>
            <w14:solidFill>
              <w14:schemeClr w14:val="tx1"/>
            </w14:solidFill>
          </w14:textFill>
        </w:rPr>
        <w:t>渝水区农村产权交易中心</w:t>
      </w:r>
      <w:r>
        <w:rPr>
          <w:rFonts w:hint="eastAsia" w:ascii="宋体" w:hAnsi="宋体" w:eastAsia="宋体" w:cs="宋体"/>
          <w:color w:val="000000" w:themeColor="text1"/>
          <w:sz w:val="24"/>
          <w:szCs w:val="24"/>
          <w14:textFill>
            <w14:solidFill>
              <w14:schemeClr w14:val="tx1"/>
            </w14:solidFill>
          </w14:textFill>
        </w:rPr>
        <w:t>的保证金</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元在甲方收到乙方全部合同价款后，由甲方通知</w:t>
      </w:r>
      <w:r>
        <w:rPr>
          <w:rFonts w:hint="eastAsia" w:ascii="宋体" w:hAnsi="宋体" w:eastAsia="宋体" w:cs="宋体"/>
          <w:bCs/>
          <w:color w:val="000000" w:themeColor="text1"/>
          <w:sz w:val="24"/>
          <w:szCs w:val="24"/>
          <w14:textFill>
            <w14:solidFill>
              <w14:schemeClr w14:val="tx1"/>
            </w14:solidFill>
          </w14:textFill>
        </w:rPr>
        <w:t>渝水区农村产权交易中心</w:t>
      </w:r>
      <w:r>
        <w:rPr>
          <w:rFonts w:hint="eastAsia" w:ascii="宋体" w:hAnsi="宋体" w:eastAsia="宋体" w:cs="宋体"/>
          <w:color w:val="000000" w:themeColor="text1"/>
          <w:sz w:val="24"/>
          <w:szCs w:val="24"/>
          <w14:textFill>
            <w14:solidFill>
              <w14:schemeClr w14:val="tx1"/>
            </w14:solidFill>
          </w14:textFill>
        </w:rPr>
        <w:t>退还乙方。</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流转费按下列第</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种方式支付：</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一次性支付：乙方于</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日前，将合同价款一次性支付给甲方。</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按年度支付：乙方于每年的</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日前，将</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年流转费_</w:t>
      </w:r>
      <w:r>
        <w:rPr>
          <w:rFonts w:ascii="宋体" w:hAnsi="宋体" w:eastAsia="宋体" w:cs="宋体"/>
          <w:color w:val="000000" w:themeColor="text1"/>
          <w:sz w:val="24"/>
          <w:szCs w:val="24"/>
          <w14:textFill>
            <w14:solidFill>
              <w14:schemeClr w14:val="tx1"/>
            </w14:solidFill>
          </w14:textFill>
        </w:rPr>
        <w:t>______</w:t>
      </w:r>
      <w:r>
        <w:rPr>
          <w:rFonts w:hint="eastAsia" w:ascii="宋体" w:hAnsi="宋体" w:eastAsia="宋体" w:cs="宋体"/>
          <w:color w:val="000000" w:themeColor="text1"/>
          <w:sz w:val="24"/>
          <w:szCs w:val="24"/>
          <w14:textFill>
            <w14:solidFill>
              <w14:schemeClr w14:val="tx1"/>
            </w14:solidFill>
          </w14:textFill>
        </w:rPr>
        <w:t>元支付给甲方。</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分期支付：</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第一次支付:乙方于</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日前支付给甲方</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第二次支付:乙方于</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日前支付给甲方</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第三次支付:乙方于</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日前支付给甲方</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w:t>
      </w:r>
    </w:p>
    <w:p>
      <w:pPr>
        <w:spacing w:line="500" w:lineRule="exact"/>
        <w:ind w:firstLine="480" w:firstLineChars="200"/>
        <w:rPr>
          <w:rFonts w:ascii="宋体" w:hAnsi="宋体" w:eastAsia="宋体" w:cs="宋体"/>
          <w:color w:val="000000" w:themeColor="text1"/>
          <w:sz w:val="24"/>
          <w:szCs w:val="24"/>
          <w:u w:val="single"/>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其他支付方式：</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p>
    <w:p>
      <w:pPr>
        <w:pStyle w:val="6"/>
        <w:numPr>
          <w:ilvl w:val="255"/>
          <w:numId w:val="0"/>
        </w:numPr>
        <w:spacing w:line="500" w:lineRule="exact"/>
        <w:ind w:firstLine="480" w:firstLineChars="200"/>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 xml:space="preserve">第六条 </w:t>
      </w:r>
      <w:r>
        <w:rPr>
          <w:rFonts w:ascii="宋体" w:hAnsi="宋体" w:eastAsia="宋体" w:cs="宋体"/>
          <w:b/>
          <w:bCs/>
          <w:color w:val="000000" w:themeColor="text1"/>
          <w:sz w:val="24"/>
          <w:szCs w:val="24"/>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流转标的交接事项</w:t>
      </w:r>
    </w:p>
    <w:p>
      <w:pPr>
        <w:spacing w:line="500" w:lineRule="exact"/>
        <w:ind w:firstLine="480" w:firstLineChars="20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lang w:eastAsia="zh-CN"/>
          <w14:textFill>
            <w14:solidFill>
              <w14:schemeClr w14:val="tx1"/>
            </w14:solidFill>
          </w14:textFill>
        </w:rPr>
        <w:t>流转标的文件按下列第（</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种方式交接：</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①</w:t>
      </w:r>
      <w:r>
        <w:rPr>
          <w:rFonts w:hint="eastAsia" w:ascii="宋体" w:hAnsi="宋体" w:eastAsia="宋体" w:cs="宋体"/>
          <w:color w:val="000000" w:themeColor="text1"/>
          <w:sz w:val="24"/>
          <w:szCs w:val="24"/>
          <w14:textFill>
            <w14:solidFill>
              <w14:schemeClr w14:val="tx1"/>
            </w14:solidFill>
          </w14:textFill>
        </w:rPr>
        <w:t>甲方应在乙方交纳了全部合同价款后十个工作日内与乙方进行标的资产及相关权属证明文件、技术资料等的交接。</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②</w:t>
      </w:r>
      <w:r>
        <w:rPr>
          <w:rFonts w:hint="eastAsia" w:ascii="宋体" w:hAnsi="宋体" w:eastAsia="宋体" w:cs="宋体"/>
          <w:color w:val="000000" w:themeColor="text1"/>
          <w:sz w:val="24"/>
          <w:szCs w:val="24"/>
          <w14:textFill>
            <w14:solidFill>
              <w14:schemeClr w14:val="tx1"/>
            </w14:solidFill>
          </w14:textFill>
        </w:rPr>
        <w:t>甲方应在</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日前与乙方进行资产及相关权属证明文件、技术资料等的交接。</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2、乙方获得</w:t>
      </w:r>
      <w:r>
        <w:rPr>
          <w:rFonts w:hint="eastAsia" w:ascii="宋体" w:hAnsi="宋体" w:eastAsia="宋体" w:cs="宋体"/>
          <w:bCs/>
          <w:color w:val="000000" w:themeColor="text1"/>
          <w:sz w:val="24"/>
          <w:szCs w:val="24"/>
          <w14:textFill>
            <w14:solidFill>
              <w14:schemeClr w14:val="tx1"/>
            </w14:solidFill>
          </w14:textFill>
        </w:rPr>
        <w:t>渝水区农村产权交易中心</w:t>
      </w:r>
      <w:r>
        <w:rPr>
          <w:rFonts w:hint="eastAsia" w:ascii="宋体" w:hAnsi="宋体" w:eastAsia="宋体" w:cs="宋体"/>
          <w:color w:val="000000" w:themeColor="text1"/>
          <w:sz w:val="24"/>
          <w:szCs w:val="24"/>
          <w14:textFill>
            <w14:solidFill>
              <w14:schemeClr w14:val="tx1"/>
            </w14:solidFill>
          </w14:textFill>
        </w:rPr>
        <w:t>出具的本合同项下的标的资产的产权交易鉴证后十个工作日内，应按照国家及渝水区的有关规定到相关部门办理标的资产的备案或变更登记手续，甲方应给予必要的协助与配合。</w:t>
      </w:r>
    </w:p>
    <w:p>
      <w:pPr>
        <w:pStyle w:val="6"/>
        <w:numPr>
          <w:ilvl w:val="255"/>
          <w:numId w:val="0"/>
        </w:numPr>
        <w:spacing w:line="500" w:lineRule="exact"/>
        <w:ind w:firstLine="480" w:firstLineChars="200"/>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第七条  产权交易服务费的承担</w:t>
      </w:r>
    </w:p>
    <w:p>
      <w:pPr>
        <w:spacing w:line="500" w:lineRule="exact"/>
        <w:ind w:firstLine="480" w:firstLineChars="20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产权交易服务费按下列（</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种方式承担：</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本合同项下标的资产交易过程中所产生的产权交易服务费用，依照有关规定由甲、乙双方各自承担。</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本合同项下标的资产交易过程中，甲方应承担以下费用：</w:t>
      </w:r>
      <w:r>
        <w:rPr>
          <w:rFonts w:hint="eastAsia" w:ascii="宋体" w:hAnsi="宋体" w:eastAsia="宋体" w:cs="宋体"/>
          <w:color w:val="000000" w:themeColor="text1"/>
          <w:sz w:val="24"/>
          <w:szCs w:val="24"/>
          <w:u w:val="single"/>
          <w14:textFill>
            <w14:solidFill>
              <w14:schemeClr w14:val="tx1"/>
            </w14:solidFill>
          </w14:textFill>
        </w:rPr>
        <w:t xml:space="preserve">           </w:t>
      </w:r>
    </w:p>
    <w:p>
      <w:pPr>
        <w:spacing w:line="5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乙方应承担以下费用：</w:t>
      </w:r>
      <w:r>
        <w:rPr>
          <w:rFonts w:hint="eastAsia" w:ascii="宋体" w:hAnsi="宋体" w:eastAsia="宋体" w:cs="宋体"/>
          <w:color w:val="000000" w:themeColor="text1"/>
          <w:sz w:val="24"/>
          <w:szCs w:val="24"/>
          <w:u w:val="single"/>
          <w14:textFill>
            <w14:solidFill>
              <w14:schemeClr w14:val="tx1"/>
            </w14:solidFill>
          </w14:textFill>
        </w:rPr>
        <w:t xml:space="preserve">                                             </w:t>
      </w:r>
    </w:p>
    <w:p>
      <w:pPr>
        <w:spacing w:line="5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w:t>
      </w:r>
    </w:p>
    <w:p>
      <w:pPr>
        <w:spacing w:line="500" w:lineRule="exact"/>
        <w:ind w:firstLine="352" w:firstLineChars="147"/>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 xml:space="preserve">第八条 </w:t>
      </w:r>
      <w:r>
        <w:rPr>
          <w:rFonts w:ascii="宋体" w:hAnsi="宋体" w:eastAsia="宋体" w:cs="宋体"/>
          <w:b/>
          <w:bCs/>
          <w:color w:val="000000" w:themeColor="text1"/>
          <w:sz w:val="24"/>
          <w:szCs w:val="24"/>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甲方的权利和义务</w:t>
      </w:r>
    </w:p>
    <w:p>
      <w:pPr>
        <w:tabs>
          <w:tab w:val="left" w:pos="1620"/>
        </w:tabs>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1、甲方对本合同下的流转标的拥有处分权；</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2、为签订本合同之目的向乙方及</w:t>
      </w:r>
      <w:r>
        <w:rPr>
          <w:rFonts w:hint="eastAsia" w:ascii="宋体" w:hAnsi="宋体" w:eastAsia="宋体" w:cs="宋体"/>
          <w:bCs/>
          <w:color w:val="000000" w:themeColor="text1"/>
          <w:sz w:val="24"/>
          <w:szCs w:val="24"/>
          <w14:textFill>
            <w14:solidFill>
              <w14:schemeClr w14:val="tx1"/>
            </w14:solidFill>
          </w14:textFill>
        </w:rPr>
        <w:t>渝水区农村产权交易中心</w:t>
      </w:r>
      <w:r>
        <w:rPr>
          <w:rFonts w:hint="eastAsia" w:ascii="宋体" w:hAnsi="宋体" w:eastAsia="宋体" w:cs="宋体"/>
          <w:color w:val="000000" w:themeColor="text1"/>
          <w:sz w:val="24"/>
          <w:szCs w:val="24"/>
          <w14:textFill>
            <w14:solidFill>
              <w14:schemeClr w14:val="tx1"/>
            </w14:solidFill>
          </w14:textFill>
        </w:rPr>
        <w:t>提交的各项证明文件及资料均为真实、完整、合法、有效，甲方对所提供材料与标的资产真实情况的一致性负责，并承担因隐瞒、虚报所引起的一切法律责任；</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3、签订本合同所需的包括但不限于授权、审批、内部决策、备案等在内的一切手续均已合法有效取得，本合同成立和标的资产流转的前提条件均已满足；</w:t>
      </w:r>
    </w:p>
    <w:p>
      <w:pPr>
        <w:spacing w:line="500" w:lineRule="exac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4、流转标的未设置任何可能影响产权流转的担保或限制，或就流转标的上设置的可能影响标的资产流转的任何担保或限制，甲方已取得有关权利人的同意或认可。</w:t>
      </w:r>
    </w:p>
    <w:p>
      <w:pPr>
        <w:spacing w:line="500" w:lineRule="exact"/>
        <w:ind w:firstLine="480" w:firstLineChars="20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5、其他                              。</w:t>
      </w:r>
    </w:p>
    <w:p>
      <w:pPr>
        <w:spacing w:line="500" w:lineRule="exact"/>
        <w:ind w:firstLine="352" w:firstLineChars="147"/>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 xml:space="preserve">第九条 </w:t>
      </w:r>
      <w:r>
        <w:rPr>
          <w:rFonts w:ascii="宋体" w:hAnsi="宋体" w:eastAsia="宋体" w:cs="宋体"/>
          <w:b/>
          <w:bCs/>
          <w:color w:val="000000" w:themeColor="text1"/>
          <w:sz w:val="24"/>
          <w:szCs w:val="24"/>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乙方的权利和义务</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1、乙方受让本合同项下流转标的符合法律、法规、规章、规范性文件和政策的规定，并不违背中国境内的产业政策；</w:t>
      </w:r>
    </w:p>
    <w:p>
      <w:pPr>
        <w:spacing w:line="500" w:lineRule="exact"/>
        <w:ind w:firstLine="480" w:firstLineChars="200"/>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2、为签订本合同之目的向甲方及</w:t>
      </w:r>
      <w:r>
        <w:rPr>
          <w:rFonts w:hint="eastAsia" w:ascii="宋体" w:hAnsi="宋体" w:eastAsia="宋体" w:cs="宋体"/>
          <w:bCs/>
          <w:color w:val="000000" w:themeColor="text1"/>
          <w:sz w:val="24"/>
          <w:szCs w:val="24"/>
          <w14:textFill>
            <w14:solidFill>
              <w14:schemeClr w14:val="tx1"/>
            </w14:solidFill>
          </w14:textFill>
        </w:rPr>
        <w:t>渝水区农村产权交易中心</w:t>
      </w:r>
      <w:r>
        <w:rPr>
          <w:rFonts w:hint="eastAsia" w:ascii="宋体" w:hAnsi="宋体" w:eastAsia="宋体" w:cs="宋体"/>
          <w:color w:val="000000" w:themeColor="text1"/>
          <w:sz w:val="24"/>
          <w:szCs w:val="24"/>
          <w14:textFill>
            <w14:solidFill>
              <w14:schemeClr w14:val="tx1"/>
            </w14:solidFill>
          </w14:textFill>
        </w:rPr>
        <w:t>提交的各项证明文件及资料均为真实、完整的；</w:t>
      </w:r>
    </w:p>
    <w:p>
      <w:pPr>
        <w:spacing w:line="500" w:lineRule="exac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3、签订本合同所需的包括但不限于授权、审批、内部决策等在内的一切批准手续均已合法有效取得，本合同成立和受让标的资产的前提条件均已满足。</w:t>
      </w:r>
    </w:p>
    <w:p>
      <w:pPr>
        <w:spacing w:line="500" w:lineRule="exac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、其他                              。</w:t>
      </w:r>
    </w:p>
    <w:p>
      <w:pPr>
        <w:spacing w:line="500" w:lineRule="exact"/>
        <w:ind w:firstLine="480" w:firstLineChars="200"/>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第十条  交付时和合同到期后标的资产附着物及相关设施的处理</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1.签订本合同并交付标的资产时，附着物及相关设施有：</w:t>
      </w:r>
    </w:p>
    <w:p>
      <w:pPr>
        <w:spacing w:line="5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______________________________________________________</w:t>
      </w:r>
      <w:r>
        <w:rPr>
          <w:rFonts w:ascii="宋体" w:hAnsi="宋体" w:eastAsia="宋体" w:cs="宋体"/>
          <w:color w:val="000000" w:themeColor="text1"/>
          <w:sz w:val="24"/>
          <w:szCs w:val="24"/>
          <w14:textFill>
            <w14:solidFill>
              <w14:schemeClr w14:val="tx1"/>
            </w14:solidFill>
          </w14:textFill>
        </w:rPr>
        <w:t>______________</w:t>
      </w:r>
      <w:r>
        <w:rPr>
          <w:rFonts w:hint="eastAsia" w:ascii="宋体" w:hAnsi="宋体" w:eastAsia="宋体" w:cs="宋体"/>
          <w:color w:val="000000" w:themeColor="text1"/>
          <w:sz w:val="24"/>
          <w:szCs w:val="24"/>
          <w14:textFill>
            <w14:solidFill>
              <w14:schemeClr w14:val="tx1"/>
            </w14:solidFill>
          </w14:textFill>
        </w:rPr>
        <w:t>。</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2.合同到期时，由国家或地方财政直接补助形成的财产按</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处理。</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3.乙方经营期间利用除财政补助外的资金构建的附着物及相关设备设施按下列方式处理：</w:t>
      </w:r>
    </w:p>
    <w:p>
      <w:pPr>
        <w:spacing w:line="5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______________________________________________________</w:t>
      </w:r>
      <w:r>
        <w:rPr>
          <w:rFonts w:ascii="宋体" w:hAnsi="宋体" w:eastAsia="宋体" w:cs="宋体"/>
          <w:color w:val="000000" w:themeColor="text1"/>
          <w:sz w:val="24"/>
          <w:szCs w:val="24"/>
          <w14:textFill>
            <w14:solidFill>
              <w14:schemeClr w14:val="tx1"/>
            </w14:solidFill>
          </w14:textFill>
        </w:rPr>
        <w:t>______________</w:t>
      </w:r>
      <w:r>
        <w:rPr>
          <w:rFonts w:hint="eastAsia" w:ascii="宋体" w:hAnsi="宋体" w:eastAsia="宋体" w:cs="宋体"/>
          <w:color w:val="000000" w:themeColor="text1"/>
          <w:sz w:val="24"/>
          <w:szCs w:val="24"/>
          <w14:textFill>
            <w14:solidFill>
              <w14:schemeClr w14:val="tx1"/>
            </w14:solidFill>
          </w14:textFill>
        </w:rPr>
        <w:t>。</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4.合同到期恢复原状等事项的处理：</w:t>
      </w:r>
    </w:p>
    <w:p>
      <w:pPr>
        <w:spacing w:line="5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______________________________________________________</w:t>
      </w:r>
      <w:r>
        <w:rPr>
          <w:rFonts w:ascii="宋体" w:hAnsi="宋体" w:eastAsia="宋体" w:cs="宋体"/>
          <w:color w:val="000000" w:themeColor="text1"/>
          <w:sz w:val="24"/>
          <w:szCs w:val="24"/>
          <w14:textFill>
            <w14:solidFill>
              <w14:schemeClr w14:val="tx1"/>
            </w14:solidFill>
          </w14:textFill>
        </w:rPr>
        <w:t>______________</w:t>
      </w:r>
      <w:r>
        <w:rPr>
          <w:rFonts w:hint="eastAsia" w:ascii="宋体" w:hAnsi="宋体" w:eastAsia="宋体" w:cs="宋体"/>
          <w:color w:val="000000" w:themeColor="text1"/>
          <w:sz w:val="24"/>
          <w:szCs w:val="24"/>
          <w14:textFill>
            <w14:solidFill>
              <w14:schemeClr w14:val="tx1"/>
            </w14:solidFill>
          </w14:textFill>
        </w:rPr>
        <w:t>。</w:t>
      </w:r>
    </w:p>
    <w:p>
      <w:pPr>
        <w:spacing w:line="500" w:lineRule="exact"/>
        <w:ind w:firstLine="352" w:firstLineChars="147"/>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第十</w:t>
      </w:r>
      <w:r>
        <w:rPr>
          <w:rFonts w:hint="eastAsia" w:ascii="宋体" w:hAnsi="宋体" w:eastAsia="宋体" w:cs="宋体"/>
          <w:b/>
          <w:bCs/>
          <w:color w:val="000000" w:themeColor="text1"/>
          <w:sz w:val="24"/>
          <w:szCs w:val="24"/>
          <w:lang w:eastAsia="zh-CN"/>
          <w14:textFill>
            <w14:solidFill>
              <w14:schemeClr w14:val="tx1"/>
            </w14:solidFill>
          </w14:textFill>
        </w:rPr>
        <w:t>一</w:t>
      </w:r>
      <w:r>
        <w:rPr>
          <w:rFonts w:hint="eastAsia" w:ascii="宋体" w:hAnsi="宋体" w:eastAsia="宋体" w:cs="宋体"/>
          <w:b/>
          <w:bCs/>
          <w:color w:val="000000" w:themeColor="text1"/>
          <w:sz w:val="24"/>
          <w:szCs w:val="24"/>
          <w14:textFill>
            <w14:solidFill>
              <w14:schemeClr w14:val="tx1"/>
            </w14:solidFill>
          </w14:textFill>
        </w:rPr>
        <w:t>条  违约责任</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1、本合同生效后，任何一方无故提出终止合同，应按照合同价款的</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%向对方一次性支付违约金，违约金不足以赔偿给对方造成的损失的，应以实际损失赔偿。</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2、乙方未按合同约定期限支付合同价款的，应向甲方支付逾期付款违约金。违约金按照延迟支付期间应付价款的每日万分之</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计算。逾期付款超过_</w:t>
      </w:r>
      <w:r>
        <w:rPr>
          <w:rFonts w:ascii="宋体" w:hAnsi="宋体" w:eastAsia="宋体" w:cs="宋体"/>
          <w:color w:val="000000" w:themeColor="text1"/>
          <w:sz w:val="24"/>
          <w:szCs w:val="24"/>
          <w14:textFill>
            <w14:solidFill>
              <w14:schemeClr w14:val="tx1"/>
            </w14:solidFill>
          </w14:textFill>
        </w:rPr>
        <w:t>___</w:t>
      </w:r>
      <w:r>
        <w:rPr>
          <w:rFonts w:hint="eastAsia" w:ascii="宋体" w:hAnsi="宋体" w:eastAsia="宋体" w:cs="宋体"/>
          <w:color w:val="000000" w:themeColor="text1"/>
          <w:sz w:val="24"/>
          <w:szCs w:val="24"/>
          <w14:textFill>
            <w14:solidFill>
              <w14:schemeClr w14:val="tx1"/>
            </w14:solidFill>
          </w14:textFill>
        </w:rPr>
        <w:t>日，甲方有权解除合同，要求乙方按照合同价款的</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%承担违约责任，并要求乙方承担甲方因此造成的损失。</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3、甲方未按本合同约定交接流转标的的，应向乙方支付逾期违约金。违约金按照</w:t>
      </w:r>
      <w:r>
        <w:rPr>
          <w:rFonts w:hint="eastAsia" w:ascii="宋体" w:hAnsi="宋体" w:eastAsia="宋体" w:cs="宋体"/>
          <w:color w:val="000000" w:themeColor="text1"/>
          <w:sz w:val="24"/>
          <w:szCs w:val="24"/>
          <w:lang w:eastAsia="zh-CN"/>
          <w14:textFill>
            <w14:solidFill>
              <w14:schemeClr w14:val="tx1"/>
            </w14:solidFill>
          </w14:textFill>
        </w:rPr>
        <w:t>流转</w:t>
      </w:r>
      <w:r>
        <w:rPr>
          <w:rFonts w:hint="eastAsia" w:ascii="宋体" w:hAnsi="宋体" w:eastAsia="宋体" w:cs="宋体"/>
          <w:color w:val="000000" w:themeColor="text1"/>
          <w:sz w:val="24"/>
          <w:szCs w:val="24"/>
          <w14:textFill>
            <w14:solidFill>
              <w14:schemeClr w14:val="tx1"/>
            </w14:solidFill>
          </w14:textFill>
        </w:rPr>
        <w:t>应收价款的每日万分之</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计算。逾期</w:t>
      </w:r>
      <w:r>
        <w:rPr>
          <w:rFonts w:hint="eastAsia" w:ascii="宋体" w:hAnsi="宋体" w:eastAsia="宋体" w:cs="宋体"/>
          <w:color w:val="000000" w:themeColor="text1"/>
          <w:sz w:val="24"/>
          <w:szCs w:val="24"/>
          <w:lang w:eastAsia="zh-CN"/>
          <w14:textFill>
            <w14:solidFill>
              <w14:schemeClr w14:val="tx1"/>
            </w14:solidFill>
          </w14:textFill>
        </w:rPr>
        <w:t>交付</w:t>
      </w:r>
      <w:r>
        <w:rPr>
          <w:rFonts w:hint="eastAsia" w:ascii="宋体" w:hAnsi="宋体" w:eastAsia="宋体" w:cs="宋体"/>
          <w:color w:val="000000" w:themeColor="text1"/>
          <w:sz w:val="24"/>
          <w:szCs w:val="24"/>
          <w14:textFill>
            <w14:solidFill>
              <w14:schemeClr w14:val="tx1"/>
            </w14:solidFill>
          </w14:textFill>
        </w:rPr>
        <w:t>超过_</w:t>
      </w:r>
      <w:r>
        <w:rPr>
          <w:rFonts w:ascii="宋体" w:hAnsi="宋体" w:eastAsia="宋体" w:cs="宋体"/>
          <w:color w:val="000000" w:themeColor="text1"/>
          <w:sz w:val="24"/>
          <w:szCs w:val="24"/>
          <w14:textFill>
            <w14:solidFill>
              <w14:schemeClr w14:val="tx1"/>
            </w14:solidFill>
          </w14:textFill>
        </w:rPr>
        <w:t>___</w:t>
      </w:r>
      <w:r>
        <w:rPr>
          <w:rFonts w:hint="eastAsia" w:ascii="宋体" w:hAnsi="宋体" w:eastAsia="宋体" w:cs="宋体"/>
          <w:color w:val="000000" w:themeColor="text1"/>
          <w:sz w:val="24"/>
          <w:szCs w:val="24"/>
          <w14:textFill>
            <w14:solidFill>
              <w14:schemeClr w14:val="tx1"/>
            </w14:solidFill>
          </w14:textFill>
        </w:rPr>
        <w:t>日，乙方有权解除本合同，并要求甲方按照合同价款的</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%向乙方支付违约金。</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4、甲方非法干预乙方生产经营活动，给乙方造成损失的，应予以赔偿。</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5、乙方不按合同约定使用标的资产或未经甲方同意擅自改变用途的，甲方有权解除合同，乙方应当赔偿对甲方造成的损失。</w:t>
      </w:r>
    </w:p>
    <w:p>
      <w:pPr>
        <w:spacing w:line="500" w:lineRule="exact"/>
        <w:ind w:firstLine="480" w:firstLineChars="200"/>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第十</w:t>
      </w:r>
      <w:r>
        <w:rPr>
          <w:rFonts w:hint="eastAsia" w:ascii="宋体" w:hAnsi="宋体" w:eastAsia="宋体" w:cs="宋体"/>
          <w:b/>
          <w:bCs/>
          <w:color w:val="000000" w:themeColor="text1"/>
          <w:sz w:val="24"/>
          <w:szCs w:val="24"/>
          <w:lang w:eastAsia="zh-CN"/>
          <w14:textFill>
            <w14:solidFill>
              <w14:schemeClr w14:val="tx1"/>
            </w14:solidFill>
          </w14:textFill>
        </w:rPr>
        <w:t>二</w:t>
      </w:r>
      <w:r>
        <w:rPr>
          <w:rFonts w:hint="eastAsia" w:ascii="宋体" w:hAnsi="宋体" w:eastAsia="宋体" w:cs="宋体"/>
          <w:b/>
          <w:bCs/>
          <w:color w:val="000000" w:themeColor="text1"/>
          <w:sz w:val="24"/>
          <w:szCs w:val="24"/>
          <w14:textFill>
            <w14:solidFill>
              <w14:schemeClr w14:val="tx1"/>
            </w14:solidFill>
          </w14:textFill>
        </w:rPr>
        <w:t>条  纠纷解决方式</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有关本合同的解释或履行，当事人之间发生争议的，应由双方协商解决；协商解决不成的，按下列第</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种方式解决：（任选一种）</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（1）提交仲裁委员会仲裁；</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（2）依法向人民法院起诉。</w:t>
      </w:r>
    </w:p>
    <w:p>
      <w:pPr>
        <w:spacing w:line="500" w:lineRule="exact"/>
        <w:ind w:firstLine="480" w:firstLineChars="200"/>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第十</w:t>
      </w:r>
      <w:r>
        <w:rPr>
          <w:rFonts w:hint="eastAsia" w:ascii="宋体" w:hAnsi="宋体" w:eastAsia="宋体" w:cs="宋体"/>
          <w:b/>
          <w:bCs/>
          <w:color w:val="000000" w:themeColor="text1"/>
          <w:sz w:val="24"/>
          <w:szCs w:val="24"/>
          <w:lang w:eastAsia="zh-CN"/>
          <w14:textFill>
            <w14:solidFill>
              <w14:schemeClr w14:val="tx1"/>
            </w14:solidFill>
          </w14:textFill>
        </w:rPr>
        <w:t>三</w:t>
      </w:r>
      <w:r>
        <w:rPr>
          <w:rFonts w:hint="eastAsia" w:ascii="宋体" w:hAnsi="宋体" w:eastAsia="宋体" w:cs="宋体"/>
          <w:b/>
          <w:bCs/>
          <w:color w:val="000000" w:themeColor="text1"/>
          <w:sz w:val="24"/>
          <w:szCs w:val="24"/>
          <w14:textFill>
            <w14:solidFill>
              <w14:schemeClr w14:val="tx1"/>
            </w14:solidFill>
          </w14:textFill>
        </w:rPr>
        <w:t>条  特别约定（租赁适用）</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合同到期前六个月，如双方未就续约事宜达成书面协议，则甲方可另行挂牌流转，若甲方与新的受让方达成流转协议，则乙方应在本合同到期时交还标的资产，不得妨碍新的受让方使用。合同到期时，乙方应及时拆除己方购置和投入建设的地上设施及附着物，恢复原貌。否则，地上设施及附着物无偿归甲方所有。</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2、采用租赁方式流转的免租期：自本合同签订之日起至</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日，_</w:t>
      </w:r>
      <w:r>
        <w:rPr>
          <w:rFonts w:ascii="宋体" w:hAnsi="宋体" w:eastAsia="宋体" w:cs="宋体"/>
          <w:color w:val="000000" w:themeColor="text1"/>
          <w:sz w:val="24"/>
          <w:szCs w:val="24"/>
          <w14:textFill>
            <w14:solidFill>
              <w14:schemeClr w14:val="tx1"/>
            </w14:solidFill>
          </w14:textFill>
        </w:rPr>
        <w:t>_</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日开始计租。</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3、各项税费由甲乙双方按国家有关规定各自依法承担。</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4、租赁保证金</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元，  </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日前交付甲方。合同期满且交回标的之日起30个工作日内，在乙方无违反合同约定且结清各项应缴付的费用并交回保证金收据原件后，由甲方如数无息退还乙方。</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5、物业管理。乙方应在</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日前与物业管理单位签订《物业管理服务合同》，直接向物业管理单位缴纳水电周转金、物业管理服务费押金和每月的物业管理服务费。</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6、未经甲方书面同意，乙方不得擅自将标的转租、分租及转借他人使用。</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乙方除经营所需、并依法获得政府有关部门的批准/批文外，不得在其承租标的内存放易燃、易爆等危险物品。如因乙方使用不当或失职出现事故引起大楼及其租户损失或危及他人人身或财物安全，全部经济与法律责任均由乙方负责。</w:t>
      </w:r>
    </w:p>
    <w:p>
      <w:pPr>
        <w:spacing w:line="500" w:lineRule="exact"/>
        <w:ind w:firstLine="54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8、乙方不得擅自改动、拆除和损坏标的的建筑结构和甲方或物业管理单位提供的设备设施。</w:t>
      </w:r>
    </w:p>
    <w:p>
      <w:pPr>
        <w:spacing w:line="500" w:lineRule="exact"/>
        <w:ind w:firstLine="54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租赁期间，标的内部所有的设备、设施（包括甲方提供和乙方自行添置的）及内部装修的保养、维修、更新均由乙方自行负责，并承担由此产生的一切费用。由于乙方原因造成的标的原有附属设备设施的损坏，乙方应负责修复或更新。</w:t>
      </w:r>
    </w:p>
    <w:p>
      <w:pPr>
        <w:spacing w:line="500" w:lineRule="exact"/>
        <w:ind w:firstLine="54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10、乙方负责标的内设备、设施、财物和人员的管理，并承担由此产生的一切损失和法律后果。乙方须遵守《中华人民共和国消防法》，按照国家标准、行业标准配置消防设施、器材，设置消防安全标志，申报消防安全检查等，乙方对标的及标的内的全部设备、设施和物品（包括甲方出租部分和乙方自行添置部分）的使用承担消防、安全责任，做好承租标的范围内的消防及治安的安全维护工作，乙方法定代表人为防火责任人，因防范不善引起的一切损失由乙方负责。</w:t>
      </w:r>
    </w:p>
    <w:p>
      <w:pPr>
        <w:spacing w:line="500" w:lineRule="exact"/>
        <w:ind w:firstLine="54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11、乙方必须办妥营业执照和/或其他依法必需的政府批准/批文方能开业，持证经营。</w:t>
      </w:r>
    </w:p>
    <w:p>
      <w:pPr>
        <w:spacing w:line="500" w:lineRule="exact"/>
        <w:ind w:firstLine="54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12、本合同未尽事宜，甲乙双方另签书面补充协议，补充协议与本合同具有同等法律效力。</w:t>
      </w:r>
    </w:p>
    <w:p>
      <w:pPr>
        <w:spacing w:line="500" w:lineRule="exact"/>
        <w:ind w:firstLine="540"/>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第十四条  其他约定</w:t>
      </w:r>
    </w:p>
    <w:p>
      <w:pPr>
        <w:spacing w:line="500" w:lineRule="exact"/>
        <w:ind w:firstLine="120" w:firstLineChars="5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u w:val="single"/>
          <w14:textFill>
            <w14:solidFill>
              <w14:schemeClr w14:val="tx1"/>
            </w14:solidFill>
          </w14:textFill>
        </w:rPr>
        <w:t xml:space="preserve">                       </w:t>
      </w:r>
      <w:r>
        <w:rPr>
          <w:rFonts w:ascii="宋体" w:hAnsi="宋体" w:eastAsia="宋体" w:cs="宋体"/>
          <w:b/>
          <w:bCs/>
          <w:color w:val="000000" w:themeColor="text1"/>
          <w:sz w:val="24"/>
          <w:szCs w:val="24"/>
          <w:u w:val="single"/>
          <w14:textFill>
            <w14:solidFill>
              <w14:schemeClr w14:val="tx1"/>
            </w14:solidFill>
          </w14:textFill>
        </w:rPr>
        <w:t xml:space="preserve">           </w:t>
      </w:r>
      <w:r>
        <w:rPr>
          <w:rFonts w:hint="eastAsia" w:ascii="宋体" w:hAnsi="宋体" w:eastAsia="宋体" w:cs="宋体"/>
          <w:b/>
          <w:bCs/>
          <w:color w:val="000000" w:themeColor="text1"/>
          <w:sz w:val="24"/>
          <w:szCs w:val="24"/>
          <w:u w:val="single"/>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w:t>
      </w:r>
    </w:p>
    <w:p>
      <w:pPr>
        <w:spacing w:line="5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本合同一式</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份，自双方签字（自然人按指印）或盖章之日起生效。甲、乙双方各执</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份，甲、乙方经纪会员各执</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份，</w:t>
      </w:r>
      <w:r>
        <w:rPr>
          <w:rFonts w:hint="eastAsia" w:ascii="宋体" w:hAnsi="宋体" w:eastAsia="宋体" w:cs="宋体"/>
          <w:bCs/>
          <w:color w:val="000000" w:themeColor="text1"/>
          <w:sz w:val="24"/>
          <w:szCs w:val="24"/>
          <w14:textFill>
            <w14:solidFill>
              <w14:schemeClr w14:val="tx1"/>
            </w14:solidFill>
          </w14:textFill>
        </w:rPr>
        <w:t>渝水区农村产权交易中心</w:t>
      </w:r>
      <w:r>
        <w:rPr>
          <w:rFonts w:hint="eastAsia" w:ascii="宋体" w:hAnsi="宋体" w:eastAsia="宋体" w:cs="宋体"/>
          <w:color w:val="000000" w:themeColor="text1"/>
          <w:sz w:val="24"/>
          <w:szCs w:val="24"/>
          <w14:textFill>
            <w14:solidFill>
              <w14:schemeClr w14:val="tx1"/>
            </w14:solidFill>
          </w14:textFill>
        </w:rPr>
        <w:t>留存壹份用于备案，其余用于办理标的资产的备案或变更登记手续。</w:t>
      </w:r>
    </w:p>
    <w:p>
      <w:pPr>
        <w:spacing w:line="500" w:lineRule="exact"/>
        <w:rPr>
          <w:rFonts w:ascii="宋体" w:hAnsi="宋体" w:eastAsia="宋体" w:cs="宋体"/>
          <w:color w:val="000000" w:themeColor="text1"/>
          <w:sz w:val="24"/>
          <w:szCs w:val="24"/>
          <w14:textFill>
            <w14:solidFill>
              <w14:schemeClr w14:val="tx1"/>
            </w14:solidFill>
          </w14:textFill>
        </w:rPr>
      </w:pPr>
    </w:p>
    <w:p>
      <w:pPr>
        <w:spacing w:line="5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 xml:space="preserve">合同附件  </w:t>
      </w:r>
      <w:r>
        <w:rPr>
          <w:rFonts w:hint="eastAsia" w:ascii="宋体" w:hAnsi="宋体" w:eastAsia="宋体" w:cs="宋体"/>
          <w:color w:val="000000" w:themeColor="text1"/>
          <w:sz w:val="24"/>
          <w:szCs w:val="24"/>
          <w14:textFill>
            <w14:solidFill>
              <w14:schemeClr w14:val="tx1"/>
            </w14:solidFill>
          </w14:textFill>
        </w:rPr>
        <w:t>附件一：《资产（或房地产）评估报告》</w:t>
      </w:r>
    </w:p>
    <w:p>
      <w:pPr>
        <w:tabs>
          <w:tab w:val="left" w:pos="4860"/>
        </w:tabs>
        <w:spacing w:line="500" w:lineRule="exact"/>
        <w:ind w:firstLine="1200" w:firstLineChars="5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附件二：□ 标的平面图/权属证书；□ 受让方资料；□ 其他：</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w:t>
      </w:r>
    </w:p>
    <w:p>
      <w:pPr>
        <w:spacing w:line="500" w:lineRule="exact"/>
        <w:rPr>
          <w:rFonts w:ascii="宋体" w:hAnsi="宋体" w:eastAsia="宋体" w:cs="宋体"/>
          <w:color w:val="000000" w:themeColor="text1"/>
          <w:sz w:val="24"/>
          <w:szCs w:val="24"/>
          <w14:textFill>
            <w14:solidFill>
              <w14:schemeClr w14:val="tx1"/>
            </w14:solidFill>
          </w14:textFill>
        </w:rPr>
      </w:pPr>
    </w:p>
    <w:p>
      <w:pPr>
        <w:spacing w:line="500" w:lineRule="exact"/>
        <w:rPr>
          <w:rFonts w:ascii="宋体" w:hAnsi="宋体" w:eastAsia="宋体" w:cs="宋体"/>
          <w:color w:val="000000" w:themeColor="text1"/>
          <w:sz w:val="24"/>
          <w:szCs w:val="24"/>
          <w14:textFill>
            <w14:solidFill>
              <w14:schemeClr w14:val="tx1"/>
            </w14:solidFill>
          </w14:textFill>
        </w:rPr>
      </w:pPr>
    </w:p>
    <w:p>
      <w:pPr>
        <w:spacing w:line="500" w:lineRule="exact"/>
        <w:rPr>
          <w:rFonts w:ascii="宋体" w:hAnsi="宋体" w:eastAsia="宋体" w:cs="宋体"/>
          <w:color w:val="000000" w:themeColor="text1"/>
          <w:sz w:val="24"/>
          <w:szCs w:val="24"/>
          <w14:textFill>
            <w14:solidFill>
              <w14:schemeClr w14:val="tx1"/>
            </w14:solidFill>
          </w14:textFill>
        </w:rPr>
      </w:pPr>
    </w:p>
    <w:p>
      <w:pPr>
        <w:spacing w:line="500" w:lineRule="exact"/>
        <w:rPr>
          <w:rFonts w:ascii="宋体" w:hAnsi="宋体" w:eastAsia="宋体" w:cs="宋体"/>
          <w:color w:val="000000" w:themeColor="text1"/>
          <w:sz w:val="24"/>
          <w:szCs w:val="24"/>
          <w14:textFill>
            <w14:solidFill>
              <w14:schemeClr w14:val="tx1"/>
            </w14:solidFill>
          </w14:textFill>
        </w:rPr>
      </w:pPr>
    </w:p>
    <w:tbl>
      <w:tblPr>
        <w:tblStyle w:val="4"/>
        <w:tblW w:w="0" w:type="auto"/>
        <w:tblInd w:w="0" w:type="dxa"/>
        <w:tblLayout w:type="autofit"/>
        <w:tblCellMar>
          <w:top w:w="0" w:type="dxa"/>
          <w:left w:w="108" w:type="dxa"/>
          <w:bottom w:w="0" w:type="dxa"/>
          <w:right w:w="108" w:type="dxa"/>
        </w:tblCellMar>
      </w:tblPr>
      <w:tblGrid>
        <w:gridCol w:w="4261"/>
        <w:gridCol w:w="4261"/>
      </w:tblGrid>
      <w:tr>
        <w:tblPrEx>
          <w:tblCellMar>
            <w:top w:w="0" w:type="dxa"/>
            <w:left w:w="108" w:type="dxa"/>
            <w:bottom w:w="0" w:type="dxa"/>
            <w:right w:w="108" w:type="dxa"/>
          </w:tblCellMar>
        </w:tblPrEx>
        <w:tc>
          <w:tcPr>
            <w:tcW w:w="4643" w:type="dxa"/>
          </w:tcPr>
          <w:p>
            <w:pPr>
              <w:spacing w:line="5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甲方（委托代理人）：</w:t>
            </w:r>
          </w:p>
          <w:p>
            <w:pPr>
              <w:spacing w:line="5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盖章/签字：</w:t>
            </w:r>
          </w:p>
        </w:tc>
        <w:tc>
          <w:tcPr>
            <w:tcW w:w="4643" w:type="dxa"/>
          </w:tcPr>
          <w:p>
            <w:pPr>
              <w:spacing w:line="5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乙方（委托代理人）：</w:t>
            </w:r>
          </w:p>
          <w:p>
            <w:pPr>
              <w:spacing w:line="5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盖章/签字：</w:t>
            </w:r>
          </w:p>
        </w:tc>
      </w:tr>
      <w:tr>
        <w:tblPrEx>
          <w:tblCellMar>
            <w:top w:w="0" w:type="dxa"/>
            <w:left w:w="108" w:type="dxa"/>
            <w:bottom w:w="0" w:type="dxa"/>
            <w:right w:w="108" w:type="dxa"/>
          </w:tblCellMar>
        </w:tblPrEx>
        <w:tc>
          <w:tcPr>
            <w:tcW w:w="4643" w:type="dxa"/>
          </w:tcPr>
          <w:p>
            <w:pPr>
              <w:spacing w:line="5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身份证号：</w:t>
            </w:r>
          </w:p>
        </w:tc>
        <w:tc>
          <w:tcPr>
            <w:tcW w:w="4643" w:type="dxa"/>
          </w:tcPr>
          <w:p>
            <w:pPr>
              <w:spacing w:line="5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身份证号：</w:t>
            </w:r>
          </w:p>
        </w:tc>
      </w:tr>
      <w:tr>
        <w:tblPrEx>
          <w:tblCellMar>
            <w:top w:w="0" w:type="dxa"/>
            <w:left w:w="108" w:type="dxa"/>
            <w:bottom w:w="0" w:type="dxa"/>
            <w:right w:w="108" w:type="dxa"/>
          </w:tblCellMar>
        </w:tblPrEx>
        <w:tc>
          <w:tcPr>
            <w:tcW w:w="4643" w:type="dxa"/>
          </w:tcPr>
          <w:p>
            <w:pPr>
              <w:spacing w:line="5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年   月   日</w:t>
            </w:r>
          </w:p>
        </w:tc>
        <w:tc>
          <w:tcPr>
            <w:tcW w:w="4643" w:type="dxa"/>
          </w:tcPr>
          <w:p>
            <w:pPr>
              <w:spacing w:line="5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年   月   日</w:t>
            </w:r>
          </w:p>
        </w:tc>
      </w:tr>
    </w:tbl>
    <w:p>
      <w:pPr>
        <w:spacing w:line="500" w:lineRule="exact"/>
        <w:rPr>
          <w:rFonts w:ascii="宋体" w:hAnsi="宋体" w:eastAsia="宋体" w:cs="宋体"/>
          <w:color w:val="000000" w:themeColor="text1"/>
          <w:sz w:val="24"/>
          <w:szCs w:val="24"/>
          <w14:textFill>
            <w14:solidFill>
              <w14:schemeClr w14:val="tx1"/>
            </w14:solidFill>
          </w14:textFill>
        </w:rPr>
      </w:pPr>
    </w:p>
    <w:p/>
    <w:sectPr>
      <w:footerReference r:id="rId4" w:type="first"/>
      <w:footerReference r:id="rId3" w:type="default"/>
      <w:pgSz w:w="11906" w:h="16838"/>
      <w:pgMar w:top="1440" w:right="1800" w:bottom="1440" w:left="1800" w:header="851" w:footer="992" w:gutter="0"/>
      <w:pgNumType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rPr>
                              <w:rFonts w:hint="eastAsia"/>
                            </w:rPr>
                            <w:t>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rPr>
                        <w:rFonts w:hint="eastAsia"/>
                      </w:rPr>
                      <w:t>0</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8414A9"/>
    <w:rsid w:val="558414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uiPriority w:val="0"/>
    <w:pPr>
      <w:ind w:firstLine="420" w:firstLineChars="200"/>
    </w:pPr>
    <w:rPr>
      <w:rFonts w:ascii="Times New Roman" w:hAnsi="Times New Roman" w:eastAsia="宋体" w:cs="Times New Roman"/>
      <w:szCs w:val="24"/>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2021-01-26T02:19:00Z</dcterms:created>
  <dc:creator>薄荷心柠檬泪！</dc:creator>
  <cp:lastModifiedBy>薄荷心柠檬泪！</cp:lastModifiedBy>
  <dcterms:modified xsi:type="dcterms:W3CDTF">2021-01-26T02:20:44Z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